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C6" w:rsidRPr="003C7ADD" w:rsidRDefault="009513C6" w:rsidP="00F605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F60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5FA" w:rsidRPr="00F605FA">
        <w:rPr>
          <w:rFonts w:ascii="Times New Roman" w:hAnsi="Times New Roman" w:cs="Times New Roman"/>
          <w:sz w:val="28"/>
          <w:szCs w:val="28"/>
          <w:lang w:val="uk-UA"/>
        </w:rPr>
        <w:t>69.003</w:t>
      </w:r>
    </w:p>
    <w:p w:rsidR="009513C6" w:rsidRPr="003C7ADD" w:rsidRDefault="003B2A82" w:rsidP="003B2A82">
      <w:pPr>
        <w:spacing w:after="0" w:line="360" w:lineRule="auto"/>
        <w:ind w:left="4536"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b/>
          <w:sz w:val="28"/>
          <w:szCs w:val="28"/>
          <w:lang w:val="uk-UA"/>
        </w:rPr>
        <w:t>Терещенко В.С.,</w:t>
      </w:r>
    </w:p>
    <w:p w:rsidR="003B2A82" w:rsidRPr="003C7ADD" w:rsidRDefault="003B2A82" w:rsidP="003B2A82">
      <w:pPr>
        <w:spacing w:after="0" w:line="360" w:lineRule="auto"/>
        <w:ind w:left="4536"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Лисенко С.М., </w:t>
      </w:r>
      <w:proofErr w:type="spellStart"/>
      <w:r w:rsidRPr="003C7ADD">
        <w:rPr>
          <w:rFonts w:ascii="Times New Roman" w:hAnsi="Times New Roman" w:cs="Times New Roman"/>
          <w:b/>
          <w:sz w:val="28"/>
          <w:szCs w:val="28"/>
          <w:lang w:val="uk-UA"/>
        </w:rPr>
        <w:t>к.е.н</w:t>
      </w:r>
      <w:proofErr w:type="spellEnd"/>
      <w:r w:rsidRPr="003C7ADD">
        <w:rPr>
          <w:rFonts w:ascii="Times New Roman" w:hAnsi="Times New Roman" w:cs="Times New Roman"/>
          <w:b/>
          <w:sz w:val="28"/>
          <w:szCs w:val="28"/>
          <w:lang w:val="uk-UA"/>
        </w:rPr>
        <w:t>., доц.</w:t>
      </w:r>
    </w:p>
    <w:p w:rsidR="009513C6" w:rsidRPr="003C7ADD" w:rsidRDefault="009513C6" w:rsidP="003B2A82">
      <w:pPr>
        <w:pStyle w:val="a3"/>
        <w:spacing w:after="0" w:line="360" w:lineRule="auto"/>
        <w:ind w:left="3402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C7ADD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ДВНЗ «Донецький національний технічний університет», м. </w:t>
      </w:r>
      <w:proofErr w:type="spellStart"/>
      <w:r w:rsidRPr="003C7ADD">
        <w:rPr>
          <w:rFonts w:ascii="Times New Roman" w:hAnsi="Times New Roman" w:cs="Times New Roman"/>
          <w:i/>
          <w:sz w:val="28"/>
          <w:szCs w:val="28"/>
          <w:lang w:val="uk-UA" w:eastAsia="ru-RU"/>
        </w:rPr>
        <w:t>Покровськ</w:t>
      </w:r>
      <w:proofErr w:type="spellEnd"/>
    </w:p>
    <w:p w:rsidR="009A632C" w:rsidRPr="003C7ADD" w:rsidRDefault="009A632C" w:rsidP="003B2A82">
      <w:pPr>
        <w:pStyle w:val="a3"/>
        <w:spacing w:after="0" w:line="360" w:lineRule="auto"/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13464" w:rsidRPr="003C7ADD" w:rsidRDefault="000E14A0" w:rsidP="003B2A82">
      <w:pPr>
        <w:pStyle w:val="a3"/>
        <w:spacing w:after="0" w:line="360" w:lineRule="auto"/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C7A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ОСОБЛИВОСТІ ФУНКЦІОНУВАННЯ ТА РОЗВИТКУ ЖИТЛОВО-КОМУНАЛЬНОГО ПІДПРИЄМСТВА </w:t>
      </w:r>
    </w:p>
    <w:p w:rsidR="009513C6" w:rsidRPr="003C7ADD" w:rsidRDefault="009513C6" w:rsidP="003B2A82">
      <w:pPr>
        <w:pStyle w:val="a3"/>
        <w:spacing w:after="0" w:line="360" w:lineRule="auto"/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13464" w:rsidRPr="003C7ADD" w:rsidRDefault="00113464" w:rsidP="003B2A82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Житлово-комунальне господарство є </w:t>
      </w:r>
      <w:r w:rsidR="009F6D9E" w:rsidRPr="003C7ADD">
        <w:rPr>
          <w:rFonts w:ascii="Times New Roman" w:hAnsi="Times New Roman" w:cs="Times New Roman"/>
          <w:sz w:val="28"/>
          <w:szCs w:val="28"/>
          <w:lang w:val="uk-UA"/>
        </w:rPr>
        <w:t>основополо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>жною</w:t>
      </w:r>
      <w:r w:rsidR="009F6D9E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силою для розвитку міст, громад та цілих регіонів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на сучасній мапі України.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З огляду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на повномасштабне вторгнення Р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24.02.2022</w:t>
      </w:r>
      <w:r w:rsidR="00A853C8" w:rsidRPr="003C7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FA563D">
        <w:rPr>
          <w:rFonts w:ascii="Times New Roman" w:hAnsi="Times New Roman" w:cs="Times New Roman"/>
          <w:sz w:val="28"/>
          <w:szCs w:val="28"/>
          <w:lang w:val="uk-UA"/>
        </w:rPr>
        <w:t xml:space="preserve">рана галузь </w:t>
      </w:r>
      <w:bookmarkStart w:id="0" w:name="_GoBack"/>
      <w:bookmarkEnd w:id="0"/>
      <w:r w:rsidR="00FA563D">
        <w:rPr>
          <w:rFonts w:ascii="Times New Roman" w:hAnsi="Times New Roman" w:cs="Times New Roman"/>
          <w:sz w:val="28"/>
          <w:szCs w:val="28"/>
          <w:lang w:val="uk-UA"/>
        </w:rPr>
        <w:t>є основ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>ою для п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осилення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привабливості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0F7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та </w:t>
      </w:r>
      <w:r w:rsidR="00184901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проживання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="005C30F7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0F7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громад і У</w:t>
      </w:r>
      <w:r w:rsidR="005C30F7" w:rsidRPr="003C7AD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 цілому</w:t>
      </w:r>
      <w:r w:rsidR="005C30F7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0874E3" w:rsidRPr="003C7ADD" w:rsidRDefault="000874E3" w:rsidP="003B2A82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Метою роботи є </w:t>
      </w:r>
      <w:r w:rsidR="004F4BE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аналіз сучасного стану комунального підприємства «Комунальник м. Селидове», його основних проблем розвитку та напрямів реформування, визначення шляхів підвищення якості надання послуг. </w:t>
      </w:r>
    </w:p>
    <w:p w:rsidR="004918FD" w:rsidRPr="003C7ADD" w:rsidRDefault="000E14A0" w:rsidP="003B2A82">
      <w:pPr>
        <w:pStyle w:val="a3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Інформаційною базою для дослідження даної теми є нормативно- правові акти Верховної ради і Кабінету Міністрів України</w:t>
      </w:r>
      <w:r w:rsidR="003C7AD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, наукові праці вітчизняних вчених-економістів, фахівців з управління і регулювання економіки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Вакуленко В.М.,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Бабаєв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Дронь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А.А., Крамаренко Г.О.,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Дзядь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О.І.,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Ніколаєав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В.П., Онищук Г.І., Кукса В.П.,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І.М., Попов О.Ю.,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Семчук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Г.М.,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Строкань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Т.М., Сиротюк Р.М., </w:t>
      </w:r>
      <w:proofErr w:type="spellStart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Хомяков</w:t>
      </w:r>
      <w:proofErr w:type="spellEnd"/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В.В. та інших</w:t>
      </w:r>
      <w:r w:rsidR="003C7AD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[2]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C8E" w:rsidRPr="003C7ADD" w:rsidRDefault="003B2A82" w:rsidP="003B2A82">
      <w:pPr>
        <w:pStyle w:val="a3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Житлово-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>комунальне господарство є важливою галуззю</w:t>
      </w:r>
      <w:r w:rsidR="00796C6A" w:rsidRPr="003C7ADD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своїми функціями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4918F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належне утримання житлових будинків та прибудинкових </w:t>
      </w:r>
      <w:r w:rsidR="0066335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територій, місць загального користування </w:t>
      </w:r>
      <w:r w:rsidR="00DB7C8E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та на місцевому рівні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DB7C8E" w:rsidRPr="003C7ADD">
        <w:rPr>
          <w:rFonts w:ascii="Times New Roman" w:hAnsi="Times New Roman" w:cs="Times New Roman"/>
          <w:sz w:val="28"/>
          <w:szCs w:val="28"/>
          <w:lang w:val="uk-UA"/>
        </w:rPr>
        <w:t>тримує б</w:t>
      </w:r>
      <w:r w:rsidR="008963CB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лагоустрій автомобільного покриття. </w:t>
      </w:r>
      <w:r w:rsidR="0066335D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5A39" w:rsidRPr="003C7ADD" w:rsidRDefault="00796C6A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Селид</w:t>
      </w:r>
      <w:r w:rsidR="00EC36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вськ</w:t>
      </w:r>
      <w:r w:rsidR="00EC36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міській громаді даним напрямком надання вище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перерахованих послуг займається Комунальне підприємство «Комунальник м. Селидове», створен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рішення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Селид</w:t>
      </w:r>
      <w:r w:rsidR="00EC36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вської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від 16.05.2017 на базі відокремленої частини комунальної власності територіальної громади міста Селидове.</w:t>
      </w:r>
      <w:r w:rsidR="00A853C8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є юридичною особою, має відокремлене майно, самостійний баланс та рахунки в установах банку. </w:t>
      </w:r>
    </w:p>
    <w:p w:rsidR="00DB7C8E" w:rsidRPr="003C7ADD" w:rsidRDefault="00A13D59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наявною інформацією про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фінансов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9C5" w:rsidRPr="003C7ADD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КП «Комунальник м. Селидове» </w:t>
      </w:r>
      <w:r w:rsidR="00EC362A" w:rsidRPr="003C7ADD">
        <w:rPr>
          <w:rFonts w:ascii="Times New Roman" w:hAnsi="Times New Roman" w:cs="Times New Roman"/>
          <w:bCs/>
          <w:sz w:val="28"/>
          <w:szCs w:val="28"/>
          <w:lang w:val="uk-UA"/>
        </w:rPr>
        <w:t>[3-5]</w:t>
      </w:r>
      <w:r w:rsidR="00EC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39C5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чистий фінансовий результат за 2021-2022рр. 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указує на погіршення фінансового стану підприємства у 2022 році порівняно із попереднім періодом (див. 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2F46" w:rsidRPr="003C7ADD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3B2A82" w:rsidRPr="003C7A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39C5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839C5" w:rsidRPr="003C7A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5A39" w:rsidRPr="003C7ADD" w:rsidRDefault="00E65A39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39C5" w:rsidRPr="003C7ADD" w:rsidRDefault="00D839C5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676900" cy="219583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2FB7" w:rsidRPr="003C7ADD" w:rsidRDefault="009C2FB7" w:rsidP="00E65A3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Рисунок 1. </w:t>
      </w:r>
      <w:r w:rsidRPr="003C7A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Чистий </w:t>
      </w:r>
      <w:r w:rsidR="00E65A39" w:rsidRPr="003C7ADD"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r w:rsidRPr="003C7ADD">
        <w:rPr>
          <w:rFonts w:ascii="Times New Roman" w:hAnsi="Times New Roman" w:cs="Times New Roman"/>
          <w:bCs/>
          <w:sz w:val="28"/>
          <w:szCs w:val="28"/>
          <w:lang w:val="uk-UA"/>
        </w:rPr>
        <w:t>інансовий результат КП «Комунальник с. Селидове» за 2021-2022 роки</w:t>
      </w:r>
      <w:r w:rsidR="003C7ADD" w:rsidRPr="003C7A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65A39" w:rsidRPr="003C7ADD" w:rsidRDefault="00E65A39" w:rsidP="00E65A3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2390" w:rsidRPr="003C7ADD" w:rsidRDefault="009C2FB7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bCs/>
          <w:sz w:val="28"/>
          <w:szCs w:val="28"/>
          <w:lang w:val="uk-UA"/>
        </w:rPr>
        <w:t>Як ми бачимо, у 2021 році комунально</w:t>
      </w:r>
      <w:r w:rsidR="002B1FC8" w:rsidRPr="003C7ADD">
        <w:rPr>
          <w:rFonts w:ascii="Times New Roman" w:hAnsi="Times New Roman" w:cs="Times New Roman"/>
          <w:bCs/>
          <w:sz w:val="28"/>
          <w:szCs w:val="28"/>
          <w:lang w:val="uk-UA"/>
        </w:rPr>
        <w:t>му підприємству вдалось, не зважаючи на негативний результат попереднього року (</w:t>
      </w:r>
      <w:r w:rsidR="002B1FC8" w:rsidRPr="003C7ADD">
        <w:rPr>
          <w:rFonts w:ascii="Times New Roman" w:hAnsi="Times New Roman" w:cs="Times New Roman"/>
          <w:sz w:val="28"/>
          <w:szCs w:val="28"/>
          <w:lang w:val="uk-UA"/>
        </w:rPr>
        <w:t>-4249,3</w:t>
      </w:r>
      <w:r w:rsidRPr="003C7A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B1FC8" w:rsidRPr="003C7A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тис. грн), отримати прибуток в </w:t>
      </w:r>
      <w:r w:rsidR="002B1FC8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62,3 тис. грн. Але картина 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кардинально змінюється у 2022 році 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>осійськ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агресі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су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веренної України і перерозподіл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асигнувань на більш цільові витрати військового та оборонного призначення. Не зважаючи на це, маючи восьмирічний досвід ведення господарської діяльності </w:t>
      </w:r>
      <w:r w:rsidR="00E65A39" w:rsidRPr="003C7ADD">
        <w:rPr>
          <w:rFonts w:ascii="Times New Roman" w:hAnsi="Times New Roman" w:cs="Times New Roman"/>
          <w:sz w:val="28"/>
          <w:szCs w:val="28"/>
          <w:lang w:val="uk-UA"/>
        </w:rPr>
        <w:t>в умовах обмежених бойових дій</w:t>
      </w:r>
      <w:r w:rsidR="00872390" w:rsidRPr="003C7ADD">
        <w:rPr>
          <w:rFonts w:ascii="Times New Roman" w:hAnsi="Times New Roman" w:cs="Times New Roman"/>
          <w:sz w:val="28"/>
          <w:szCs w:val="28"/>
          <w:lang w:val="uk-UA"/>
        </w:rPr>
        <w:t>, підприємство отримує чистий фінансовий результат в 62,3 тис. грн.</w:t>
      </w:r>
    </w:p>
    <w:p w:rsidR="008E7F28" w:rsidRPr="003C7ADD" w:rsidRDefault="008E7F28" w:rsidP="00E65A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На сьогоднішній день у КП «Комунальник м. Селидове»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х підприємствах України можна виділити низку таких проблем:</w:t>
      </w:r>
    </w:p>
    <w:p w:rsidR="000341EF" w:rsidRPr="003C7ADD" w:rsidRDefault="00E65A39" w:rsidP="00E65A3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>астарілий житловий фонд;</w:t>
      </w:r>
    </w:p>
    <w:p w:rsidR="009C2FB7" w:rsidRPr="003C7ADD" w:rsidRDefault="00E65A39" w:rsidP="00E65A3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изький рівень самоорганізації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управлінням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багатоквартирними житловими будинками;</w:t>
      </w:r>
    </w:p>
    <w:p w:rsidR="000341EF" w:rsidRPr="003C7ADD" w:rsidRDefault="00E65A39" w:rsidP="00E65A3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изький рівень </w:t>
      </w:r>
      <w:proofErr w:type="spellStart"/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>клієнтоорієнтовності</w:t>
      </w:r>
      <w:proofErr w:type="spellEnd"/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житлово-комунальних послуг;</w:t>
      </w:r>
    </w:p>
    <w:p w:rsidR="000341EF" w:rsidRPr="003C7ADD" w:rsidRDefault="00E65A39" w:rsidP="00E65A3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евідповідність сфери поводження з побутовими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відходами  сучасн</w:t>
      </w:r>
      <w:r w:rsidR="003C7ADD" w:rsidRPr="003C7AD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ADD" w:rsidRPr="003C7ADD">
        <w:rPr>
          <w:rFonts w:ascii="Times New Roman" w:hAnsi="Times New Roman" w:cs="Times New Roman"/>
          <w:sz w:val="28"/>
          <w:szCs w:val="28"/>
          <w:lang w:val="uk-UA"/>
        </w:rPr>
        <w:t>вимогам безпеки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F0419" w:rsidRPr="003C7ADD" w:rsidRDefault="003C7ADD" w:rsidP="00E65A3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>еобґрунтована система оподаткування комунальних підприємств.</w:t>
      </w:r>
    </w:p>
    <w:p w:rsidR="000341EF" w:rsidRPr="003C7ADD" w:rsidRDefault="003C7ADD" w:rsidP="00E65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, для усунення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нагальних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проблем в житлово-комунального господарстві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, що допоможе вистояти територіальним громадам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під час війни і забезпечити базис для повернення мешканців на вільні і безпечні території,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заходи з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реформува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даних підприємств, своєчасно та в повному обсязі здійснити виплати заробітної плати працівникам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житлово-комунальної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сфери, підвищ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ти якість послуг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, що надаються населенню,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механізм погашення 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заборгован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і населення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Pr="003C7ADD">
        <w:rPr>
          <w:rFonts w:ascii="Times New Roman" w:hAnsi="Times New Roman" w:cs="Times New Roman"/>
          <w:sz w:val="28"/>
          <w:szCs w:val="28"/>
          <w:lang w:val="uk-UA"/>
        </w:rPr>
        <w:t>и у умовах дії воєнного стану</w:t>
      </w:r>
      <w:r w:rsidR="002F0419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41EF"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632C" w:rsidRPr="003C7ADD" w:rsidRDefault="009A632C" w:rsidP="00E65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32C" w:rsidRPr="003C7ADD" w:rsidRDefault="003C7ADD" w:rsidP="003C7A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9A632C" w:rsidRPr="003C7ADD" w:rsidRDefault="009A632C" w:rsidP="00E65A3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Про житлово-комунальні послуги : Закон України від 0911.2017 № 2189-VIII // Відомості Верховної Ради (ВВР), 2018, № 1, ст.1. 3. </w:t>
      </w:r>
    </w:p>
    <w:p w:rsidR="009A632C" w:rsidRPr="003C7ADD" w:rsidRDefault="009A632C" w:rsidP="00E65A3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Череп А. В.,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В. А. Науковий вісник Полтавського університету економіки і торгівлі. 2018 №1 (86). С.137. </w:t>
      </w:r>
    </w:p>
    <w:p w:rsidR="00FF59BB" w:rsidRPr="003C7ADD" w:rsidRDefault="00FF59BB" w:rsidP="00E65A3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Програма економічного і соціального розвитку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Селидівської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2021 рік, м. Селидове, 2021 р.</w:t>
      </w:r>
    </w:p>
    <w:p w:rsidR="00FF59BB" w:rsidRPr="003C7ADD" w:rsidRDefault="00FF59BB" w:rsidP="00E65A3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економічного і соціального розвитку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Селидівської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2022 рік, м. Селидове, 2022 р. </w:t>
      </w:r>
    </w:p>
    <w:p w:rsidR="00FF59BB" w:rsidRPr="003C7ADD" w:rsidRDefault="00FF59BB" w:rsidP="00E65A3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план Комунально підприємства «Комунальник </w:t>
      </w:r>
      <w:proofErr w:type="spellStart"/>
      <w:r w:rsidRPr="003C7ADD">
        <w:rPr>
          <w:rFonts w:ascii="Times New Roman" w:hAnsi="Times New Roman" w:cs="Times New Roman"/>
          <w:sz w:val="28"/>
          <w:szCs w:val="28"/>
          <w:lang w:val="uk-UA"/>
        </w:rPr>
        <w:t>м.Селидове</w:t>
      </w:r>
      <w:proofErr w:type="spellEnd"/>
      <w:r w:rsidRPr="003C7ADD">
        <w:rPr>
          <w:rFonts w:ascii="Times New Roman" w:hAnsi="Times New Roman" w:cs="Times New Roman"/>
          <w:sz w:val="28"/>
          <w:szCs w:val="28"/>
          <w:lang w:val="uk-UA"/>
        </w:rPr>
        <w:t xml:space="preserve">», м. Селидове, 2021-2022 р. </w:t>
      </w:r>
    </w:p>
    <w:sectPr w:rsidR="00FF59BB" w:rsidRPr="003C7ADD" w:rsidSect="003B2A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FAA"/>
    <w:multiLevelType w:val="hybridMultilevel"/>
    <w:tmpl w:val="839C6B62"/>
    <w:lvl w:ilvl="0" w:tplc="B4F82A50">
      <w:start w:val="51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8E1447"/>
    <w:multiLevelType w:val="hybridMultilevel"/>
    <w:tmpl w:val="302E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36A65"/>
    <w:multiLevelType w:val="hybridMultilevel"/>
    <w:tmpl w:val="3774A86C"/>
    <w:lvl w:ilvl="0" w:tplc="D00C0CB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C5098D"/>
    <w:multiLevelType w:val="hybridMultilevel"/>
    <w:tmpl w:val="BFD28E88"/>
    <w:lvl w:ilvl="0" w:tplc="00A8A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2242D"/>
    <w:multiLevelType w:val="multilevel"/>
    <w:tmpl w:val="21CCF5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09"/>
    <w:rsid w:val="000341EF"/>
    <w:rsid w:val="00046409"/>
    <w:rsid w:val="000874E3"/>
    <w:rsid w:val="000D2F46"/>
    <w:rsid w:val="000E14A0"/>
    <w:rsid w:val="00113464"/>
    <w:rsid w:val="00184901"/>
    <w:rsid w:val="002B1FC8"/>
    <w:rsid w:val="002F0419"/>
    <w:rsid w:val="003B2A82"/>
    <w:rsid w:val="003C7ADD"/>
    <w:rsid w:val="004918FD"/>
    <w:rsid w:val="004F4BED"/>
    <w:rsid w:val="005C30F7"/>
    <w:rsid w:val="0066335D"/>
    <w:rsid w:val="0066757B"/>
    <w:rsid w:val="007641D8"/>
    <w:rsid w:val="00796C6A"/>
    <w:rsid w:val="00872390"/>
    <w:rsid w:val="008963CB"/>
    <w:rsid w:val="008E7F28"/>
    <w:rsid w:val="009513C6"/>
    <w:rsid w:val="009939B0"/>
    <w:rsid w:val="009A0B31"/>
    <w:rsid w:val="009A632C"/>
    <w:rsid w:val="009C2FB7"/>
    <w:rsid w:val="009F6D9E"/>
    <w:rsid w:val="00A13D59"/>
    <w:rsid w:val="00A853C8"/>
    <w:rsid w:val="00B52306"/>
    <w:rsid w:val="00C131B8"/>
    <w:rsid w:val="00C563F1"/>
    <w:rsid w:val="00C936DA"/>
    <w:rsid w:val="00CE5EB1"/>
    <w:rsid w:val="00D839C5"/>
    <w:rsid w:val="00DB7C8E"/>
    <w:rsid w:val="00E65A39"/>
    <w:rsid w:val="00EC362A"/>
    <w:rsid w:val="00F605FA"/>
    <w:rsid w:val="00FA563D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EE63"/>
  <w15:docId w15:val="{451A0F16-9ACE-46E3-A945-AED4C80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B0"/>
  </w:style>
  <w:style w:type="paragraph" w:styleId="1">
    <w:name w:val="heading 1"/>
    <w:basedOn w:val="a"/>
    <w:next w:val="a"/>
    <w:link w:val="10"/>
    <w:uiPriority w:val="9"/>
    <w:qFormat/>
    <w:rsid w:val="009513C6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3C6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3C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3C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3C6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9513C6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3C6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3C6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3C6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64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3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3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513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513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513C6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513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9513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513C6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513C6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513C6"/>
    <w:rPr>
      <w:rFonts w:asciiTheme="majorHAnsi" w:eastAsiaTheme="majorEastAsia" w:hAnsiTheme="majorHAnsi" w:cstheme="majorBid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8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3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минулого року (тис. грн)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рік</c:v>
                </c:pt>
                <c:pt idx="1">
                  <c:v>2022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-4249.3</c:v>
                </c:pt>
                <c:pt idx="1">
                  <c:v>62.3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A-454D-87C9-102719A83D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Фінансовий план поточного року (тис. грн)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рік</c:v>
                </c:pt>
                <c:pt idx="1">
                  <c:v>2022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1078.7</c:v>
                </c:pt>
                <c:pt idx="1">
                  <c:v>268.8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0A-454D-87C9-102719A83D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Прогноз на поточний рік (тис. грн)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рік</c:v>
                </c:pt>
                <c:pt idx="1">
                  <c:v>2022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992.8</c:v>
                </c:pt>
                <c:pt idx="1">
                  <c:v>268.8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0A-454D-87C9-102719A83D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Плановий рік (тис.грн)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рік</c:v>
                </c:pt>
                <c:pt idx="1">
                  <c:v>2022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62.3</c:v>
                </c:pt>
                <c:pt idx="1">
                  <c:v>62.3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0A-454D-87C9-102719A83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917632"/>
        <c:axId val="208919936"/>
      </c:barChart>
      <c:catAx>
        <c:axId val="208917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8919936"/>
        <c:crosses val="autoZero"/>
        <c:auto val="1"/>
        <c:lblAlgn val="ctr"/>
        <c:lblOffset val="100"/>
        <c:noMultiLvlLbl val="0"/>
      </c:catAx>
      <c:valAx>
        <c:axId val="2089199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089176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uk-UA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284A6-A4E0-4749-AD77-C4A6C084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2770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Ssvitlana</cp:lastModifiedBy>
  <cp:revision>5</cp:revision>
  <cp:lastPrinted>2023-03-13T11:34:00Z</cp:lastPrinted>
  <dcterms:created xsi:type="dcterms:W3CDTF">2023-03-16T12:59:00Z</dcterms:created>
  <dcterms:modified xsi:type="dcterms:W3CDTF">2023-03-16T13:07:00Z</dcterms:modified>
</cp:coreProperties>
</file>