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ABC" w:rsidRPr="00FA0BE6" w:rsidRDefault="00382ABC" w:rsidP="00382ABC">
      <w:pPr>
        <w:widowControl w:val="0"/>
        <w:jc w:val="both"/>
        <w:rPr>
          <w:lang w:val="uk-UA"/>
        </w:rPr>
      </w:pPr>
      <w:r w:rsidRPr="00E970F5">
        <w:rPr>
          <w:lang w:val="uk-UA"/>
        </w:rPr>
        <w:t xml:space="preserve">ШОКАРОВ В.О., </w:t>
      </w:r>
      <w:proofErr w:type="spellStart"/>
      <w:r w:rsidRPr="00E970F5">
        <w:rPr>
          <w:lang w:val="uk-UA"/>
        </w:rPr>
        <w:t>ст.гр</w:t>
      </w:r>
      <w:proofErr w:type="spellEnd"/>
      <w:r w:rsidRPr="00E970F5">
        <w:rPr>
          <w:lang w:val="uk-UA"/>
        </w:rPr>
        <w:t>. МО-05б</w:t>
      </w:r>
    </w:p>
    <w:p w:rsidR="00382ABC" w:rsidRPr="00FA0BE6" w:rsidRDefault="00382ABC" w:rsidP="00382ABC">
      <w:pPr>
        <w:widowControl w:val="0"/>
        <w:jc w:val="both"/>
        <w:rPr>
          <w:lang w:val="uk-UA"/>
        </w:rPr>
      </w:pPr>
      <w:proofErr w:type="spellStart"/>
      <w:r>
        <w:rPr>
          <w:lang w:val="uk-UA"/>
        </w:rPr>
        <w:t>Наук.керів</w:t>
      </w:r>
      <w:proofErr w:type="spellEnd"/>
      <w:r w:rsidRPr="00FA0BE6">
        <w:rPr>
          <w:lang w:val="uk-UA"/>
        </w:rPr>
        <w:t xml:space="preserve">.: </w:t>
      </w:r>
      <w:proofErr w:type="spellStart"/>
      <w:r w:rsidRPr="00FA0BE6">
        <w:rPr>
          <w:lang w:val="uk-UA"/>
        </w:rPr>
        <w:t>Севрюкова</w:t>
      </w:r>
      <w:proofErr w:type="spellEnd"/>
      <w:r w:rsidRPr="00FA0BE6">
        <w:rPr>
          <w:lang w:val="uk-UA"/>
        </w:rPr>
        <w:t xml:space="preserve"> С.В.</w:t>
      </w:r>
      <w:r>
        <w:rPr>
          <w:lang w:val="uk-UA"/>
        </w:rPr>
        <w:t>, ас.</w:t>
      </w:r>
    </w:p>
    <w:p w:rsidR="00382ABC" w:rsidRDefault="00382ABC" w:rsidP="00382ABC">
      <w:pPr>
        <w:widowControl w:val="0"/>
        <w:jc w:val="both"/>
        <w:rPr>
          <w:lang w:val="uk-UA"/>
        </w:rPr>
      </w:pPr>
      <w:r>
        <w:rPr>
          <w:lang w:val="uk-UA"/>
        </w:rPr>
        <w:t xml:space="preserve">Автомобільно-дорожній інститут державного вищого навчального закладу </w:t>
      </w:r>
    </w:p>
    <w:p w:rsidR="00382ABC" w:rsidRDefault="00382ABC" w:rsidP="00382ABC">
      <w:pPr>
        <w:widowControl w:val="0"/>
        <w:jc w:val="both"/>
        <w:rPr>
          <w:lang w:val="uk-UA"/>
        </w:rPr>
      </w:pPr>
      <w:proofErr w:type="spellStart"/>
      <w:r>
        <w:rPr>
          <w:lang w:val="uk-UA"/>
        </w:rPr>
        <w:t>“Донецький</w:t>
      </w:r>
      <w:proofErr w:type="spellEnd"/>
      <w:r>
        <w:rPr>
          <w:lang w:val="uk-UA"/>
        </w:rPr>
        <w:t xml:space="preserve"> національний технічний </w:t>
      </w:r>
      <w:proofErr w:type="spellStart"/>
      <w:r>
        <w:rPr>
          <w:lang w:val="uk-UA"/>
        </w:rPr>
        <w:t>університет”</w:t>
      </w:r>
      <w:proofErr w:type="spellEnd"/>
      <w:r>
        <w:rPr>
          <w:lang w:val="uk-UA"/>
        </w:rPr>
        <w:t>,</w:t>
      </w:r>
    </w:p>
    <w:p w:rsidR="00382ABC" w:rsidRPr="00FA0BE6" w:rsidRDefault="00382ABC" w:rsidP="00382ABC">
      <w:pPr>
        <w:widowControl w:val="0"/>
        <w:jc w:val="both"/>
        <w:rPr>
          <w:lang w:val="uk-UA"/>
        </w:rPr>
      </w:pPr>
      <w:proofErr w:type="spellStart"/>
      <w:r>
        <w:rPr>
          <w:lang w:val="uk-UA"/>
        </w:rPr>
        <w:t>м.Горлівка</w:t>
      </w:r>
      <w:proofErr w:type="spellEnd"/>
    </w:p>
    <w:p w:rsidR="00382ABC" w:rsidRPr="00FA0BE6" w:rsidRDefault="00382ABC" w:rsidP="00382ABC">
      <w:pPr>
        <w:widowControl w:val="0"/>
        <w:jc w:val="both"/>
        <w:rPr>
          <w:lang w:val="uk-UA"/>
        </w:rPr>
      </w:pPr>
    </w:p>
    <w:p w:rsidR="00382ABC" w:rsidRDefault="00382ABC" w:rsidP="00382ABC">
      <w:pPr>
        <w:widowControl w:val="0"/>
        <w:jc w:val="center"/>
        <w:rPr>
          <w:b/>
          <w:lang w:val="uk-UA"/>
        </w:rPr>
      </w:pPr>
      <w:r w:rsidRPr="00FA0BE6">
        <w:rPr>
          <w:b/>
          <w:lang w:val="uk-UA"/>
        </w:rPr>
        <w:t>ПРОБЛЕМА СТРАХУВАННЯ ІНВЕСТИЦІЙНИХ РИЗИКІВ</w:t>
      </w:r>
    </w:p>
    <w:p w:rsidR="00382ABC" w:rsidRPr="00FA0BE6" w:rsidRDefault="00382ABC" w:rsidP="00382ABC">
      <w:pPr>
        <w:widowControl w:val="0"/>
        <w:jc w:val="center"/>
        <w:rPr>
          <w:b/>
          <w:lang w:val="uk-UA"/>
        </w:rPr>
      </w:pPr>
      <w:r w:rsidRPr="00FA0BE6">
        <w:rPr>
          <w:b/>
          <w:lang w:val="uk-UA"/>
        </w:rPr>
        <w:t>В РИНКОВИХ УМОВАХ</w:t>
      </w:r>
    </w:p>
    <w:p w:rsidR="00382ABC" w:rsidRPr="00FA0BE6" w:rsidRDefault="00382ABC" w:rsidP="00382ABC">
      <w:pPr>
        <w:widowControl w:val="0"/>
        <w:ind w:firstLine="709"/>
        <w:jc w:val="center"/>
        <w:rPr>
          <w:b/>
          <w:lang w:val="uk-UA"/>
        </w:rPr>
      </w:pPr>
    </w:p>
    <w:p w:rsidR="00382ABC" w:rsidRPr="0030702B" w:rsidRDefault="00382ABC" w:rsidP="00382ABC">
      <w:pPr>
        <w:widowControl w:val="0"/>
        <w:ind w:firstLine="709"/>
        <w:jc w:val="both"/>
        <w:rPr>
          <w:i/>
        </w:rPr>
      </w:pPr>
      <w:r w:rsidRPr="0030702B">
        <w:rPr>
          <w:i/>
        </w:rPr>
        <w:t>Рассмотрены особенности страхования финансовых рисков, определена сущность инвестиционных рисков, указаны объективные причины необходимости проведения их страхования, выделены и изучены аспекты страхования финансовых рисков в банковской системе Украины.</w:t>
      </w:r>
    </w:p>
    <w:p w:rsidR="00382ABC" w:rsidRPr="00FA0BE6" w:rsidRDefault="00382ABC" w:rsidP="00382ABC">
      <w:pPr>
        <w:widowControl w:val="0"/>
        <w:ind w:firstLine="709"/>
        <w:jc w:val="both"/>
        <w:rPr>
          <w:lang w:val="uk-UA"/>
        </w:rPr>
      </w:pPr>
      <w:r w:rsidRPr="00FA0BE6">
        <w:rPr>
          <w:b/>
          <w:lang w:val="uk-UA"/>
        </w:rPr>
        <w:t xml:space="preserve">Актуальність. </w:t>
      </w:r>
      <w:r w:rsidRPr="00FA0BE6">
        <w:rPr>
          <w:lang w:val="uk-UA"/>
        </w:rPr>
        <w:t>Зіткнення з різноманітними ризиками – звичайна загроза для будь-якого інвестора в умовах сучасної ринкової економіки. Здебільшого, вкладаючи свої кошти в виробництво тих чи інших товарів чи послуг, інвестор не може мати цілковитої впевненості в суспільному визнанні результатів цього виробництва. На практиці таке визнання залежить від вдалого сполучення різних факторів, отже інвестори ризикують отримати прибуток, менший за очікуваний, або, навіть, зазнати збитків. Банк – не виключення.</w:t>
      </w:r>
    </w:p>
    <w:p w:rsidR="00382ABC" w:rsidRPr="00FA0BE6" w:rsidRDefault="00382ABC" w:rsidP="00382ABC">
      <w:pPr>
        <w:widowControl w:val="0"/>
        <w:ind w:firstLine="709"/>
        <w:jc w:val="both"/>
        <w:rPr>
          <w:lang w:val="uk-UA"/>
        </w:rPr>
      </w:pPr>
      <w:r w:rsidRPr="00FA0BE6">
        <w:rPr>
          <w:lang w:val="uk-UA"/>
        </w:rPr>
        <w:t>Таким чином, дослідження інвестиційних ризиків, виявлення факторів, які їх викликають та обчислення можливих втрат – ось важливі проблеми, на які необхідно зважати сучасному інвесторові, приймаючи рішення щодо вкладання коштів у той чи інший напрям виробничої чи комерційної діяльності. Саме тому вміння оцінювати інвестиційні ризики є необхідним для сучасного менеджера.</w:t>
      </w:r>
    </w:p>
    <w:p w:rsidR="00382ABC" w:rsidRPr="00FA0BE6" w:rsidRDefault="00382ABC" w:rsidP="00382ABC">
      <w:pPr>
        <w:widowControl w:val="0"/>
        <w:ind w:firstLine="709"/>
        <w:jc w:val="both"/>
        <w:rPr>
          <w:lang w:val="uk-UA"/>
        </w:rPr>
      </w:pPr>
      <w:r w:rsidRPr="00FA0BE6">
        <w:rPr>
          <w:lang w:val="uk-UA"/>
        </w:rPr>
        <w:t xml:space="preserve">Про важливість врахування різних фінансових ризиків свідчить чимала увага, що приділяється даній проблемі дослідниками у високорозвинених країнах. Так, по цій проблемі у США видана </w:t>
      </w:r>
      <w:proofErr w:type="spellStart"/>
      <w:r w:rsidRPr="00FA0BE6">
        <w:rPr>
          <w:lang w:val="uk-UA"/>
        </w:rPr>
        <w:t>багаточисленна</w:t>
      </w:r>
      <w:proofErr w:type="spellEnd"/>
      <w:r w:rsidRPr="00FA0BE6">
        <w:rPr>
          <w:lang w:val="uk-UA"/>
        </w:rPr>
        <w:t xml:space="preserve"> довідкова література; в таких спеціалізованих журналах, як </w:t>
      </w:r>
      <w:proofErr w:type="spellStart"/>
      <w:r w:rsidRPr="00FA0BE6">
        <w:rPr>
          <w:lang w:val="uk-UA"/>
        </w:rPr>
        <w:t>“Форчун”</w:t>
      </w:r>
      <w:proofErr w:type="spellEnd"/>
      <w:r w:rsidRPr="00FA0BE6">
        <w:rPr>
          <w:lang w:val="uk-UA"/>
        </w:rPr>
        <w:t xml:space="preserve">, </w:t>
      </w:r>
      <w:proofErr w:type="spellStart"/>
      <w:r w:rsidRPr="00FA0BE6">
        <w:rPr>
          <w:lang w:val="uk-UA"/>
        </w:rPr>
        <w:t>“Бізнес</w:t>
      </w:r>
      <w:proofErr w:type="spellEnd"/>
      <w:r w:rsidRPr="00FA0BE6">
        <w:rPr>
          <w:lang w:val="uk-UA"/>
        </w:rPr>
        <w:t xml:space="preserve"> </w:t>
      </w:r>
      <w:proofErr w:type="spellStart"/>
      <w:r w:rsidRPr="00FA0BE6">
        <w:rPr>
          <w:lang w:val="uk-UA"/>
        </w:rPr>
        <w:t>уік”</w:t>
      </w:r>
      <w:proofErr w:type="spellEnd"/>
      <w:r w:rsidRPr="00FA0BE6">
        <w:rPr>
          <w:lang w:val="uk-UA"/>
        </w:rPr>
        <w:t xml:space="preserve">, з’явилися спеціальні рубрики, присвячені проблемам обліку ризику в фінансовій та кредитній діяльностях, придбанні цінних паперів і </w:t>
      </w:r>
      <w:proofErr w:type="spellStart"/>
      <w:r w:rsidRPr="00FA0BE6">
        <w:rPr>
          <w:lang w:val="uk-UA"/>
        </w:rPr>
        <w:t>т.і</w:t>
      </w:r>
      <w:proofErr w:type="spellEnd"/>
      <w:r w:rsidRPr="00FA0BE6">
        <w:rPr>
          <w:lang w:val="uk-UA"/>
        </w:rPr>
        <w:t>.</w:t>
      </w:r>
    </w:p>
    <w:p w:rsidR="00382ABC" w:rsidRPr="00FA0BE6" w:rsidRDefault="00382ABC" w:rsidP="00382ABC">
      <w:pPr>
        <w:widowControl w:val="0"/>
        <w:ind w:firstLine="709"/>
        <w:jc w:val="both"/>
        <w:rPr>
          <w:lang w:val="uk-UA"/>
        </w:rPr>
      </w:pPr>
      <w:r w:rsidRPr="00FA0BE6">
        <w:rPr>
          <w:lang w:val="uk-UA"/>
        </w:rPr>
        <w:t xml:space="preserve">За умов сучасної української економіки проблема фінансових ризиків є особливо гострою через нестабільність податкового режиму, </w:t>
      </w:r>
      <w:proofErr w:type="spellStart"/>
      <w:r w:rsidRPr="00FA0BE6">
        <w:rPr>
          <w:lang w:val="uk-UA"/>
        </w:rPr>
        <w:t>падінння</w:t>
      </w:r>
      <w:proofErr w:type="spellEnd"/>
      <w:r w:rsidRPr="00FA0BE6">
        <w:rPr>
          <w:lang w:val="uk-UA"/>
        </w:rPr>
        <w:t xml:space="preserve"> курсу національної валюти, низьку купівельну спроможність значної частини населення та політичну нестабільність. Тому для усіх суб’єктів економічної діяльності, які мають справу з вітчизняним ринком, особливо важливо ретельно обчислювати можливий вплив фінансових ризиків.</w:t>
      </w:r>
    </w:p>
    <w:p w:rsidR="00382ABC" w:rsidRPr="00FA0BE6" w:rsidRDefault="00382ABC" w:rsidP="00382ABC">
      <w:pPr>
        <w:widowControl w:val="0"/>
        <w:ind w:firstLine="709"/>
        <w:jc w:val="both"/>
        <w:rPr>
          <w:lang w:val="uk-UA"/>
        </w:rPr>
      </w:pPr>
      <w:r w:rsidRPr="00FA0BE6">
        <w:rPr>
          <w:b/>
          <w:lang w:val="uk-UA"/>
        </w:rPr>
        <w:t xml:space="preserve">Ціль дослідження: </w:t>
      </w:r>
      <w:r w:rsidRPr="00FA0BE6">
        <w:rPr>
          <w:lang w:val="uk-UA"/>
        </w:rPr>
        <w:t>визначення сутності та виокремлення видів інвестиційних ризиків, аналіз страхування фінансових ризиків та обґрунтування його необхідності.</w:t>
      </w:r>
    </w:p>
    <w:p w:rsidR="00382ABC" w:rsidRPr="00FA0BE6" w:rsidRDefault="00382ABC" w:rsidP="00382ABC">
      <w:pPr>
        <w:widowControl w:val="0"/>
        <w:ind w:firstLine="709"/>
        <w:jc w:val="both"/>
        <w:rPr>
          <w:lang w:val="uk-UA"/>
        </w:rPr>
      </w:pPr>
      <w:r w:rsidRPr="00FA0BE6">
        <w:rPr>
          <w:b/>
          <w:lang w:val="uk-UA"/>
        </w:rPr>
        <w:t>Основна частина.</w:t>
      </w:r>
      <w:r w:rsidRPr="00FA0BE6">
        <w:rPr>
          <w:lang w:val="uk-UA"/>
        </w:rPr>
        <w:t xml:space="preserve"> Стра</w:t>
      </w:r>
      <w:r>
        <w:rPr>
          <w:lang w:val="uk-UA"/>
        </w:rPr>
        <w:t xml:space="preserve">хування комерційної діяльності </w:t>
      </w:r>
      <w:r>
        <w:rPr>
          <w:lang w:val="uk-UA"/>
        </w:rPr>
        <w:sym w:font="Symbol" w:char="F02D"/>
      </w:r>
      <w:r w:rsidRPr="00FA0BE6">
        <w:rPr>
          <w:lang w:val="uk-UA"/>
        </w:rPr>
        <w:t xml:space="preserve"> одне з найбільш складних як на стадії укладання договору, так і на протязі всього періоду його дії. Справа в тому, що відповідальність страховика по забезпеченню захисту комерційних ризиків полягає у відшкодуванні страхувальнику втрат, що виникли внаслідок несприятливої, непередбаченої зміни ринкової кон'юнктури та погіршення інших умов для здійснення комерційних операцій. Страхування комерційних та фінансових операцій полягає в тому, щоб відшкодувати можливі втрати у випадку, коли через певний період застраховані угоди не дадуть очікуваної віддачі. Страхове відшкодування в такому разі встановлюється в обсязі різниці між страховою сумою та одержаним прибутком від застрахованої комерційної діяльності.</w:t>
      </w:r>
    </w:p>
    <w:p w:rsidR="00382ABC" w:rsidRPr="00FA0BE6" w:rsidRDefault="00382ABC" w:rsidP="00382ABC">
      <w:pPr>
        <w:widowControl w:val="0"/>
        <w:ind w:firstLine="709"/>
        <w:jc w:val="both"/>
        <w:rPr>
          <w:lang w:val="uk-UA"/>
        </w:rPr>
      </w:pPr>
      <w:r w:rsidRPr="00FA0BE6">
        <w:rPr>
          <w:lang w:val="uk-UA"/>
        </w:rPr>
        <w:t xml:space="preserve">Враховуючи, що змістом страхування є захист від можливих втрат інвестиційних вкладень, строк дії договору страхування визначається періодом окупності капітальних вкладень. Очевидно, що конкретні строки окупності дуже розрізняються за видами діяльності (напрямах вкладень) навіть в одній галузі. Це залежить від часу функціонування підприємства, рівня його технічної озброєності, якості організації та </w:t>
      </w:r>
      <w:r w:rsidRPr="00FA0BE6">
        <w:rPr>
          <w:lang w:val="uk-UA"/>
        </w:rPr>
        <w:lastRenderedPageBreak/>
        <w:t>управління, ступеня включення в інфраструктуру, тощо. Тому строки дії та умови договорів переважно носять індивідуальний характер, хоча й можлива їх певна уніфікація. Зазначу, що при визначенні строку дії договору страхування комерційних та фінансових операцій інтереси партнерів проявляються по-іншому, ніж в буд</w:t>
      </w:r>
      <w:r>
        <w:rPr>
          <w:lang w:val="uk-UA"/>
        </w:rPr>
        <w:t>ь-якому виді страхування майна.</w:t>
      </w:r>
    </w:p>
    <w:p w:rsidR="00382ABC" w:rsidRPr="00FA0BE6" w:rsidRDefault="00382ABC" w:rsidP="00382ABC">
      <w:pPr>
        <w:widowControl w:val="0"/>
        <w:ind w:firstLine="709"/>
        <w:jc w:val="both"/>
        <w:rPr>
          <w:lang w:val="uk-UA"/>
        </w:rPr>
      </w:pPr>
      <w:r w:rsidRPr="00FA0BE6">
        <w:rPr>
          <w:lang w:val="uk-UA"/>
        </w:rPr>
        <w:t>Так, страхувальник зацікавлений в якнайшвидшому окуплені затрат на підприємницьку діяльність, а тому об'єктивно прагне скоротити строк дії договору. Разом з тим, при цьому підвищується ризик для страхової організації, який пов'язаний з можливою неоправданою виплатою відшкодування.</w:t>
      </w:r>
    </w:p>
    <w:p w:rsidR="00382ABC" w:rsidRPr="00FA0BE6" w:rsidRDefault="00382ABC" w:rsidP="00382ABC">
      <w:pPr>
        <w:widowControl w:val="0"/>
        <w:ind w:firstLine="709"/>
        <w:jc w:val="both"/>
        <w:rPr>
          <w:lang w:val="uk-UA"/>
        </w:rPr>
      </w:pPr>
      <w:r w:rsidRPr="00FA0BE6">
        <w:rPr>
          <w:lang w:val="uk-UA"/>
        </w:rPr>
        <w:t>Даний вид страхування має ту особливість, що виплата відшкодування переважно відбувається після закінчення строку дії договору, коли будуть підведені підсумки реалізації застрахованих комерційних операцій. Щодо інших видів страхування, то необхідність виплати страхової суми може виникнути в будь-який момент. Встановлення строку можливих виплат у страхуванні комерційних ризиків дозволяє страховику використовувати суми, одержані у вигляді страхових внесків, для інвестиційних проектів, і своєчасно в повному обсязі створювати необхідні резерви.</w:t>
      </w:r>
    </w:p>
    <w:p w:rsidR="00382ABC" w:rsidRPr="00FA0BE6" w:rsidRDefault="00382ABC" w:rsidP="00382ABC">
      <w:pPr>
        <w:widowControl w:val="0"/>
        <w:ind w:firstLine="709"/>
        <w:jc w:val="both"/>
        <w:rPr>
          <w:lang w:val="uk-UA"/>
        </w:rPr>
      </w:pPr>
      <w:r w:rsidRPr="00FA0BE6">
        <w:rPr>
          <w:lang w:val="uk-UA"/>
        </w:rPr>
        <w:t>Зміст й орієнтація даного виду страхування викликають деякі обов'язкові вимоги до укладення договорів. Страхувальник повинен мати дозвіл, ліцензію чи патент на ведення комерційної діяльності та інші необхідні документи. В своїй письмовій заяві він повинен інформувати страхову організацію про передбачувані операції, очікувані витрати та доходи, підписані контракти й інші обставини, які дозволяють страховику оцінити ступінь ризику. Безперечно, що й спеціалісти страхової організації повинні збирати й аналізувати інформацію про різні сторони діяльності страхувальника, зокрема, рівень рентабельності, кредиторську й дебіторську заборгованість, тощо.</w:t>
      </w:r>
    </w:p>
    <w:p w:rsidR="00382ABC" w:rsidRPr="00FA0BE6" w:rsidRDefault="00382ABC" w:rsidP="00382ABC">
      <w:pPr>
        <w:widowControl w:val="0"/>
        <w:ind w:firstLine="709"/>
        <w:jc w:val="both"/>
        <w:rPr>
          <w:lang w:val="uk-UA"/>
        </w:rPr>
      </w:pPr>
      <w:r w:rsidRPr="00FA0BE6">
        <w:rPr>
          <w:lang w:val="uk-UA"/>
        </w:rPr>
        <w:t>При страхуванні комерційних ризиків також застосовуються деякі обмеження в прийомі на страхування. Зокрема, з нього виключається посередницька діяльність, вклади в організацію казино, тоталізаторів, тощо. З страхової відповідальності, як правило, виключаються можливі збитки внаслідок військових дій, змін політичного курсу, негативної динаміки курсів валют.</w:t>
      </w:r>
    </w:p>
    <w:p w:rsidR="00382ABC" w:rsidRPr="00FA0BE6" w:rsidRDefault="00382ABC" w:rsidP="00382ABC">
      <w:pPr>
        <w:widowControl w:val="0"/>
        <w:ind w:firstLine="709"/>
        <w:jc w:val="both"/>
        <w:rPr>
          <w:lang w:val="uk-UA"/>
        </w:rPr>
      </w:pPr>
      <w:r w:rsidRPr="00FA0BE6">
        <w:rPr>
          <w:lang w:val="uk-UA"/>
        </w:rPr>
        <w:t>Це стосується і відшкодування збитків, що виникли внаслідок певних дій страхувальника чи його партнерів, зокрема, зумисних заходів, направлених на нанесення шкоди застрахованій діяльності, зміну профілю комерційного підприємства, застосування некваліфікованого управління ним.</w:t>
      </w:r>
    </w:p>
    <w:p w:rsidR="00382ABC" w:rsidRPr="00FA0BE6" w:rsidRDefault="00382ABC" w:rsidP="00382ABC">
      <w:pPr>
        <w:widowControl w:val="0"/>
        <w:ind w:firstLine="709"/>
        <w:jc w:val="both"/>
        <w:rPr>
          <w:lang w:val="uk-UA"/>
        </w:rPr>
      </w:pPr>
      <w:r w:rsidRPr="00FA0BE6">
        <w:rPr>
          <w:lang w:val="uk-UA"/>
        </w:rPr>
        <w:t>Тарифні ставки по страхуванню комерційних ризиків визначаються в залежності від багатьох чинників, рівня стабільності ринкових відносин й прогнозу перспектив їх динаміки, строку страхування, виду діяльності, тощо. Враховуючи, що для кожного підприємства ризик має специфічні характеристики, необхідна конкретизація ставок страхових платежів.</w:t>
      </w:r>
    </w:p>
    <w:p w:rsidR="00382ABC" w:rsidRPr="00FA0BE6" w:rsidRDefault="00382ABC" w:rsidP="00382ABC">
      <w:pPr>
        <w:widowControl w:val="0"/>
        <w:ind w:firstLine="709"/>
        <w:jc w:val="both"/>
        <w:rPr>
          <w:lang w:val="uk-UA"/>
        </w:rPr>
      </w:pPr>
      <w:r w:rsidRPr="00FA0BE6">
        <w:rPr>
          <w:lang w:val="uk-UA"/>
        </w:rPr>
        <w:t>Перейдемо до розгляду ризиків, пов’язаних з інвестиціями. Варто зазначити, що інвестиції завжди орієнтовані на майбутнє і тому пов’язані зі значною невизначеністю економічної ситуації та поведінки людей. Від цього походить високий рівень ймовірності невиконання інвестиційних планів з об’єктивних чи суб’єктивних причин.</w:t>
      </w:r>
    </w:p>
    <w:p w:rsidR="00382ABC" w:rsidRPr="00FA0BE6" w:rsidRDefault="00382ABC" w:rsidP="00382ABC">
      <w:pPr>
        <w:widowControl w:val="0"/>
        <w:ind w:firstLine="709"/>
        <w:jc w:val="both"/>
        <w:rPr>
          <w:lang w:val="uk-UA"/>
        </w:rPr>
      </w:pPr>
      <w:r w:rsidRPr="00FA0BE6">
        <w:rPr>
          <w:lang w:val="uk-UA"/>
        </w:rPr>
        <w:t>Інвестиційний ризик уявляє собою можливість нездійснення запланованих цілей інвестування (таких, як прибуток або соціальний ефект) і отримання грошових збитків. Цей ризик необхідно оцінювати, обчислювати, описувати та планувати, розробляючи інвестиційний проект.</w:t>
      </w:r>
    </w:p>
    <w:p w:rsidR="00382ABC" w:rsidRPr="00FA0BE6" w:rsidRDefault="00382ABC" w:rsidP="00382ABC">
      <w:pPr>
        <w:widowControl w:val="0"/>
        <w:ind w:firstLine="709"/>
        <w:jc w:val="both"/>
        <w:rPr>
          <w:lang w:val="uk-UA"/>
        </w:rPr>
      </w:pPr>
      <w:r w:rsidRPr="00FA0BE6">
        <w:rPr>
          <w:lang w:val="uk-UA"/>
        </w:rPr>
        <w:t>Розрізняють загальноекономічний ризик, що походить від несприятливих умов в усіх сферах економіки, та індивідуальний ризик, пов’язаний з умовами даного проекту.</w:t>
      </w:r>
    </w:p>
    <w:p w:rsidR="00382ABC" w:rsidRPr="00FA0BE6" w:rsidRDefault="00382ABC" w:rsidP="00382ABC">
      <w:pPr>
        <w:widowControl w:val="0"/>
        <w:ind w:firstLine="709"/>
        <w:jc w:val="both"/>
        <w:rPr>
          <w:lang w:val="uk-UA"/>
        </w:rPr>
      </w:pPr>
      <w:r w:rsidRPr="00FA0BE6">
        <w:rPr>
          <w:lang w:val="uk-UA"/>
        </w:rPr>
        <w:t>Залежно від чинників виділяють такі види інвестиційного ризику:</w:t>
      </w:r>
    </w:p>
    <w:p w:rsidR="00382ABC" w:rsidRPr="00FA0BE6" w:rsidRDefault="00382ABC" w:rsidP="00420F18">
      <w:pPr>
        <w:widowControl w:val="0"/>
        <w:numPr>
          <w:ilvl w:val="2"/>
          <w:numId w:val="1"/>
        </w:numPr>
        <w:tabs>
          <w:tab w:val="clear" w:pos="2689"/>
          <w:tab w:val="num" w:pos="1080"/>
        </w:tabs>
        <w:ind w:hanging="1969"/>
        <w:jc w:val="both"/>
        <w:rPr>
          <w:lang w:val="uk-UA"/>
        </w:rPr>
      </w:pPr>
      <w:r w:rsidRPr="00FA0BE6">
        <w:rPr>
          <w:lang w:val="uk-UA"/>
        </w:rPr>
        <w:t>політичний ризик;</w:t>
      </w:r>
    </w:p>
    <w:p w:rsidR="00382ABC" w:rsidRPr="00FA0BE6" w:rsidRDefault="00382ABC" w:rsidP="00420F18">
      <w:pPr>
        <w:widowControl w:val="0"/>
        <w:numPr>
          <w:ilvl w:val="2"/>
          <w:numId w:val="1"/>
        </w:numPr>
        <w:tabs>
          <w:tab w:val="clear" w:pos="2689"/>
          <w:tab w:val="num" w:pos="1080"/>
        </w:tabs>
        <w:ind w:hanging="1969"/>
        <w:jc w:val="both"/>
        <w:rPr>
          <w:lang w:val="uk-UA"/>
        </w:rPr>
      </w:pPr>
      <w:r w:rsidRPr="00FA0BE6">
        <w:rPr>
          <w:lang w:val="uk-UA"/>
        </w:rPr>
        <w:t>загальноекономічний ризик;</w:t>
      </w:r>
    </w:p>
    <w:p w:rsidR="00382ABC" w:rsidRPr="00FA0BE6" w:rsidRDefault="00382ABC" w:rsidP="00420F18">
      <w:pPr>
        <w:widowControl w:val="0"/>
        <w:numPr>
          <w:ilvl w:val="2"/>
          <w:numId w:val="1"/>
        </w:numPr>
        <w:tabs>
          <w:tab w:val="clear" w:pos="2689"/>
          <w:tab w:val="num" w:pos="1080"/>
        </w:tabs>
        <w:ind w:hanging="1969"/>
        <w:jc w:val="both"/>
        <w:rPr>
          <w:lang w:val="uk-UA"/>
        </w:rPr>
      </w:pPr>
      <w:r w:rsidRPr="00FA0BE6">
        <w:rPr>
          <w:lang w:val="uk-UA"/>
        </w:rPr>
        <w:t>правовий ризик;</w:t>
      </w:r>
    </w:p>
    <w:p w:rsidR="00382ABC" w:rsidRPr="00FA0BE6" w:rsidRDefault="00382ABC" w:rsidP="00420F18">
      <w:pPr>
        <w:widowControl w:val="0"/>
        <w:numPr>
          <w:ilvl w:val="2"/>
          <w:numId w:val="1"/>
        </w:numPr>
        <w:tabs>
          <w:tab w:val="clear" w:pos="2689"/>
          <w:tab w:val="num" w:pos="1080"/>
        </w:tabs>
        <w:ind w:hanging="1969"/>
        <w:jc w:val="both"/>
        <w:rPr>
          <w:lang w:val="uk-UA"/>
        </w:rPr>
      </w:pPr>
      <w:r w:rsidRPr="00FA0BE6">
        <w:rPr>
          <w:lang w:val="uk-UA"/>
        </w:rPr>
        <w:lastRenderedPageBreak/>
        <w:t>технічний ризик;</w:t>
      </w:r>
    </w:p>
    <w:p w:rsidR="00382ABC" w:rsidRPr="00FA0BE6" w:rsidRDefault="00382ABC" w:rsidP="00420F18">
      <w:pPr>
        <w:widowControl w:val="0"/>
        <w:numPr>
          <w:ilvl w:val="2"/>
          <w:numId w:val="1"/>
        </w:numPr>
        <w:tabs>
          <w:tab w:val="clear" w:pos="2689"/>
          <w:tab w:val="num" w:pos="1080"/>
        </w:tabs>
        <w:ind w:hanging="1969"/>
        <w:jc w:val="both"/>
        <w:rPr>
          <w:lang w:val="uk-UA"/>
        </w:rPr>
      </w:pPr>
      <w:r w:rsidRPr="00FA0BE6">
        <w:rPr>
          <w:lang w:val="uk-UA"/>
        </w:rPr>
        <w:t>ризик учасників проекту;</w:t>
      </w:r>
    </w:p>
    <w:p w:rsidR="00382ABC" w:rsidRPr="00FA0BE6" w:rsidRDefault="00382ABC" w:rsidP="00420F18">
      <w:pPr>
        <w:widowControl w:val="0"/>
        <w:numPr>
          <w:ilvl w:val="2"/>
          <w:numId w:val="1"/>
        </w:numPr>
        <w:tabs>
          <w:tab w:val="clear" w:pos="2689"/>
          <w:tab w:val="num" w:pos="1080"/>
        </w:tabs>
        <w:ind w:hanging="1969"/>
        <w:jc w:val="both"/>
        <w:rPr>
          <w:lang w:val="uk-UA"/>
        </w:rPr>
      </w:pPr>
      <w:r w:rsidRPr="00FA0BE6">
        <w:rPr>
          <w:lang w:val="uk-UA"/>
        </w:rPr>
        <w:t>фінансовий ризик;</w:t>
      </w:r>
    </w:p>
    <w:p w:rsidR="00382ABC" w:rsidRPr="00FA0BE6" w:rsidRDefault="00382ABC" w:rsidP="00420F18">
      <w:pPr>
        <w:widowControl w:val="0"/>
        <w:numPr>
          <w:ilvl w:val="2"/>
          <w:numId w:val="1"/>
        </w:numPr>
        <w:tabs>
          <w:tab w:val="clear" w:pos="2689"/>
          <w:tab w:val="num" w:pos="1080"/>
        </w:tabs>
        <w:ind w:hanging="1969"/>
        <w:jc w:val="both"/>
        <w:rPr>
          <w:lang w:val="uk-UA"/>
        </w:rPr>
      </w:pPr>
      <w:r w:rsidRPr="00FA0BE6">
        <w:rPr>
          <w:lang w:val="uk-UA"/>
        </w:rPr>
        <w:t>маркетинговий ризик;</w:t>
      </w:r>
    </w:p>
    <w:p w:rsidR="00382ABC" w:rsidRPr="00FA0BE6" w:rsidRDefault="00382ABC" w:rsidP="00420F18">
      <w:pPr>
        <w:widowControl w:val="0"/>
        <w:numPr>
          <w:ilvl w:val="2"/>
          <w:numId w:val="1"/>
        </w:numPr>
        <w:tabs>
          <w:tab w:val="clear" w:pos="2689"/>
          <w:tab w:val="num" w:pos="1080"/>
        </w:tabs>
        <w:ind w:hanging="1969"/>
        <w:jc w:val="both"/>
        <w:rPr>
          <w:lang w:val="uk-UA"/>
        </w:rPr>
      </w:pPr>
      <w:r w:rsidRPr="00FA0BE6">
        <w:rPr>
          <w:lang w:val="uk-UA"/>
        </w:rPr>
        <w:t xml:space="preserve">екологічний ризик. </w:t>
      </w:r>
    </w:p>
    <w:p w:rsidR="00382ABC" w:rsidRPr="00FA0BE6" w:rsidRDefault="00382ABC" w:rsidP="00382ABC">
      <w:pPr>
        <w:widowControl w:val="0"/>
        <w:ind w:firstLine="709"/>
        <w:jc w:val="both"/>
        <w:rPr>
          <w:lang w:val="uk-UA"/>
        </w:rPr>
      </w:pPr>
      <w:r w:rsidRPr="00FA0BE6">
        <w:rPr>
          <w:lang w:val="uk-UA"/>
        </w:rPr>
        <w:t>Політичний, правовий та загальноекономічний ризики можуть бути викликані зовнішніми умовами реалізації інвестицій. Інші види ризиків спричинюються можливими помилками планування та організації конкретних проектів.</w:t>
      </w:r>
    </w:p>
    <w:p w:rsidR="00382ABC" w:rsidRPr="00FA0BE6" w:rsidRDefault="00382ABC" w:rsidP="00382ABC">
      <w:pPr>
        <w:widowControl w:val="0"/>
        <w:ind w:firstLine="709"/>
        <w:jc w:val="both"/>
        <w:rPr>
          <w:lang w:val="uk-UA"/>
        </w:rPr>
      </w:pPr>
      <w:r w:rsidRPr="00FA0BE6">
        <w:rPr>
          <w:lang w:val="uk-UA"/>
        </w:rPr>
        <w:t>Технічний ризик зумовлюється великою кількістю похибок та помилок широкого спектру сторін інвестування, як-от пов’язаними з якістю проектування, технічною базою, обраною  технологією, управлінням проектом, перевищенням кошторису.</w:t>
      </w:r>
    </w:p>
    <w:p w:rsidR="00382ABC" w:rsidRPr="00FA0BE6" w:rsidRDefault="00382ABC" w:rsidP="00382ABC">
      <w:pPr>
        <w:widowControl w:val="0"/>
        <w:ind w:firstLine="709"/>
        <w:jc w:val="both"/>
        <w:rPr>
          <w:lang w:val="uk-UA"/>
        </w:rPr>
      </w:pPr>
      <w:r w:rsidRPr="00FA0BE6">
        <w:rPr>
          <w:lang w:val="uk-UA"/>
        </w:rPr>
        <w:t xml:space="preserve">Фінансовий ризик випливає з нездійснення очікуваних подій з фінансового боку проекту. Це можуть бути незаплановані зменшення або зникнення джерел та обсягів фінансування,  незадовільний фінансовий стан партнерів, зриви надходжень коштів від реалізації вироблених товарів чи послуг, </w:t>
      </w:r>
      <w:proofErr w:type="spellStart"/>
      <w:r w:rsidRPr="00FA0BE6">
        <w:rPr>
          <w:lang w:val="uk-UA"/>
        </w:rPr>
        <w:t>несплатоспроможність</w:t>
      </w:r>
      <w:proofErr w:type="spellEnd"/>
      <w:r w:rsidRPr="00FA0BE6">
        <w:rPr>
          <w:lang w:val="uk-UA"/>
        </w:rPr>
        <w:t xml:space="preserve"> покупців продукції та власні підвищені витрати.</w:t>
      </w:r>
    </w:p>
    <w:p w:rsidR="00382ABC" w:rsidRPr="00FA0BE6" w:rsidRDefault="00382ABC" w:rsidP="00382ABC">
      <w:pPr>
        <w:widowControl w:val="0"/>
        <w:ind w:firstLine="709"/>
        <w:jc w:val="both"/>
        <w:rPr>
          <w:lang w:val="uk-UA"/>
        </w:rPr>
      </w:pPr>
      <w:r w:rsidRPr="00FA0BE6">
        <w:rPr>
          <w:lang w:val="uk-UA"/>
        </w:rPr>
        <w:t>Маркетинговий ризик виникає з прорахунків під час оцінки ринкових умов дії проекту, наприклад ринків збуту чи постачання сировини і матеріалів, організації реклами чи збутової мережі, обсягу ринку, часу виходу на ринок, цінової політики, внаслідо</w:t>
      </w:r>
      <w:r>
        <w:rPr>
          <w:lang w:val="uk-UA"/>
        </w:rPr>
        <w:t>к низької якості продукції.</w:t>
      </w:r>
    </w:p>
    <w:p w:rsidR="00382ABC" w:rsidRPr="00FA0BE6" w:rsidRDefault="00382ABC" w:rsidP="00382ABC">
      <w:pPr>
        <w:widowControl w:val="0"/>
        <w:ind w:firstLine="709"/>
        <w:jc w:val="both"/>
        <w:rPr>
          <w:lang w:val="uk-UA"/>
        </w:rPr>
      </w:pPr>
      <w:r w:rsidRPr="00FA0BE6">
        <w:rPr>
          <w:lang w:val="uk-UA"/>
        </w:rPr>
        <w:t xml:space="preserve">Екологічний ризик пов’язаний з питаннями впливу на довкілля, можливої аварійності, стосунків з місцевою владою та населенням. </w:t>
      </w:r>
    </w:p>
    <w:p w:rsidR="00382ABC" w:rsidRPr="00FA0BE6" w:rsidRDefault="00382ABC" w:rsidP="00382ABC">
      <w:pPr>
        <w:widowControl w:val="0"/>
        <w:ind w:firstLine="709"/>
        <w:jc w:val="both"/>
        <w:rPr>
          <w:lang w:val="uk-UA"/>
        </w:rPr>
      </w:pPr>
      <w:r w:rsidRPr="00FA0BE6">
        <w:rPr>
          <w:lang w:val="uk-UA"/>
        </w:rPr>
        <w:t>Нарешті, ризик учасників проекту може бути пов’язаний з усіма неочікуваними подіями в управлінні та фінансовому стані підприємств-партнерів.</w:t>
      </w:r>
    </w:p>
    <w:p w:rsidR="00382ABC" w:rsidRPr="00FA0BE6" w:rsidRDefault="00382ABC" w:rsidP="00382ABC">
      <w:pPr>
        <w:widowControl w:val="0"/>
        <w:ind w:firstLine="709"/>
        <w:jc w:val="both"/>
        <w:rPr>
          <w:lang w:val="uk-UA"/>
        </w:rPr>
      </w:pPr>
      <w:r w:rsidRPr="00FA0BE6">
        <w:rPr>
          <w:lang w:val="uk-UA"/>
        </w:rPr>
        <w:t>Необхідно відмітити, що до страхування комерційної діяльності відноситься, хоч і з деякими особливостями, страхування біржових (в тому числі інвестиційних) та валютних ризиків (страхування від зміни курсів, валют). Цей вид страхування вводиться в багатьох країнах світу як обов'язковий з метою стимулювання розвитку зовнішньої торгівлі для підприємств, які займаються поставками продукції на зовнішній ринок. Він надає гарантії і забезпечує відшкодування збитків, що зазнали зовнішньоторговельні об'єднання в результаті зміни курсів валют в країнах-експортерах. Ці види страхування поки ще слабо застосовуються в Україні, що зумовлено нерозвиненістю ринкових відносин. На українських біржах домінують наявні контракти, коли реалізуються угоди на купівлю виставленого товару з його негайною оплатою й поставкою, а також форвардні контракти. Останні виражають угоди на купівлю-продаж наявного товару (його можна побачити, оцінити і одержати повний документальний опис) з поставкою в обумовлений строк. Тут не передбачається негайна поставка товару, а лише фіксується ціна або форми розрахунків при одержанні товарної партії.</w:t>
      </w:r>
    </w:p>
    <w:p w:rsidR="00382ABC" w:rsidRPr="00FA0BE6" w:rsidRDefault="00382ABC" w:rsidP="00382ABC">
      <w:pPr>
        <w:widowControl w:val="0"/>
        <w:ind w:firstLine="709"/>
        <w:jc w:val="both"/>
        <w:rPr>
          <w:lang w:val="uk-UA"/>
        </w:rPr>
      </w:pPr>
      <w:r w:rsidRPr="00FA0BE6">
        <w:rPr>
          <w:lang w:val="uk-UA"/>
        </w:rPr>
        <w:t>Зараз на вітчизняних біржах широко розповсюджена попередня оплата, яка досить часто складає до 100% вартості товару. Але навіть при наявному і форвардному ринку нерідко відбувається порушення умов або ж відмова від виконання укладених контрактів, особливо з боку постачальника (продавця). Тому в правила торгівлі багатьох бірж включені положення про те, що біржа приймає на себе відповідальність за збитки, зумовлені невиконанням умов угоди з одним з партнерів.</w:t>
      </w:r>
    </w:p>
    <w:p w:rsidR="00382ABC" w:rsidRPr="00FA0BE6" w:rsidRDefault="00382ABC" w:rsidP="00382ABC">
      <w:pPr>
        <w:widowControl w:val="0"/>
        <w:ind w:firstLine="709"/>
        <w:jc w:val="both"/>
        <w:rPr>
          <w:lang w:val="uk-UA"/>
        </w:rPr>
      </w:pPr>
      <w:r w:rsidRPr="00FA0BE6">
        <w:rPr>
          <w:lang w:val="uk-UA"/>
        </w:rPr>
        <w:t>Вказана відповідальність, учасників біржових контрактів може бути об'єктом страхування. В світовій страховій практиці страхуються збитки інвесторів, які зумовлені шахрайством чи неплатоспроможністю члена біржі, а також збитки членів біржі від неплатоспроможності одного з них.</w:t>
      </w:r>
    </w:p>
    <w:p w:rsidR="00382ABC" w:rsidRPr="00FA0BE6" w:rsidRDefault="00382ABC" w:rsidP="00382ABC">
      <w:pPr>
        <w:widowControl w:val="0"/>
        <w:ind w:firstLine="709"/>
        <w:jc w:val="both"/>
        <w:rPr>
          <w:lang w:val="uk-UA"/>
        </w:rPr>
      </w:pPr>
      <w:r w:rsidRPr="00FA0BE6">
        <w:rPr>
          <w:lang w:val="uk-UA"/>
        </w:rPr>
        <w:t xml:space="preserve">Враховуючи, що страхова відповідальність за збитки при здійсненні (чи нездійсненні) біржовик угод лежить на страховій організації, біржа не завжди намагається прискіпливо вибирати собі клієнтів, здійснювати відбір учасників торгів, контролювати виконання ними умов контрактів. Тому страхування біржових контрактів доцільно </w:t>
      </w:r>
      <w:r w:rsidRPr="00FA0BE6">
        <w:rPr>
          <w:lang w:val="uk-UA"/>
        </w:rPr>
        <w:lastRenderedPageBreak/>
        <w:t>проводити у вигляді взаємного біржового страхування або через акціонерні страхові компанії з участю капіталу біржі (коли пов'язуються взаємною зацікавленістю біржа й страховик).</w:t>
      </w:r>
    </w:p>
    <w:p w:rsidR="00382ABC" w:rsidRPr="00FA0BE6" w:rsidRDefault="00382ABC" w:rsidP="00382ABC">
      <w:pPr>
        <w:widowControl w:val="0"/>
        <w:ind w:firstLine="709"/>
        <w:jc w:val="both"/>
        <w:rPr>
          <w:lang w:val="uk-UA"/>
        </w:rPr>
      </w:pPr>
      <w:r w:rsidRPr="00FA0BE6">
        <w:rPr>
          <w:b/>
          <w:lang w:val="uk-UA"/>
        </w:rPr>
        <w:t>Висновки.</w:t>
      </w:r>
      <w:r w:rsidRPr="00FA0BE6">
        <w:rPr>
          <w:lang w:val="uk-UA"/>
        </w:rPr>
        <w:t xml:space="preserve"> Фінансові ризики, які визначаються ймовірністю грошових втрат і пов'язуються з непередбаченими змінами в обсягах, дохідності, вартості та структури активів і пасивів, утворюють найчисленнішу групу банківських ризиків. До фінансових ризиків належать валютний, кредитний, інвестиційний, ринковий, ризик ліквідності, ризик зміни відсоткових ставок та інфляційний.</w:t>
      </w:r>
    </w:p>
    <w:p w:rsidR="00382ABC" w:rsidRPr="00FA0BE6" w:rsidRDefault="00382ABC" w:rsidP="00382ABC">
      <w:pPr>
        <w:widowControl w:val="0"/>
        <w:ind w:firstLine="709"/>
        <w:jc w:val="both"/>
        <w:rPr>
          <w:lang w:val="uk-UA"/>
        </w:rPr>
      </w:pPr>
      <w:r w:rsidRPr="00FA0BE6">
        <w:rPr>
          <w:lang w:val="uk-UA"/>
        </w:rPr>
        <w:t>Все більшого значення набуває страхування інтересів інвесторів (страхування інвестицій) на випадок заборони вивозу прибутку, одержаного від інвестування, та інших порушень прав іноземного інвестора внаслідок рішень законодавчих чи виконавчих органів влади, політичних обставин. В сучасних умовах таке страхування особливо актуальне для залучення в національну економіку коштів іноземних інвесторів, але його не можуть ігнорувати й українські бізнесмени, що вкладають ресурси в зарубіжний бізнес. Названі види страхування в широкому плані можуть розглядатися як страхування експортних кредитів, хоча, звичайно, кожний з них має певні особливості. В широкому плані захист від валютних ризиків включає використання захисних обумовлень в контрактах, прогнозування курсу різних валют, тощо, але вони виходять за рамки страхування. Для кількісної оцінки інвестиційних ризиків застосовуються різні статистико-математичні методи, в яких обчислюють показники ефективності проекту в умовах несприятливих для інвестицій подій. Такими показниками є середньоквадратичне відхилення та коефіцієнт варіації.</w:t>
      </w:r>
    </w:p>
    <w:p w:rsidR="00382ABC" w:rsidRPr="00FA0BE6" w:rsidRDefault="00382ABC" w:rsidP="00382ABC">
      <w:pPr>
        <w:widowControl w:val="0"/>
        <w:ind w:firstLine="709"/>
        <w:jc w:val="both"/>
        <w:rPr>
          <w:lang w:val="uk-UA"/>
        </w:rPr>
      </w:pPr>
    </w:p>
    <w:p w:rsidR="00382ABC" w:rsidRPr="00FA0BE6" w:rsidRDefault="00382ABC" w:rsidP="00382ABC">
      <w:pPr>
        <w:widowControl w:val="0"/>
        <w:ind w:firstLine="709"/>
        <w:jc w:val="center"/>
        <w:rPr>
          <w:lang w:val="uk-UA"/>
        </w:rPr>
      </w:pPr>
      <w:r w:rsidRPr="0030702B">
        <w:rPr>
          <w:b/>
          <w:bCs/>
          <w:lang w:val="uk-UA"/>
        </w:rPr>
        <w:t>Бібліографічний список</w:t>
      </w:r>
    </w:p>
    <w:p w:rsidR="00382ABC" w:rsidRPr="00FA0BE6" w:rsidRDefault="00382ABC" w:rsidP="00420F18">
      <w:pPr>
        <w:widowControl w:val="0"/>
        <w:numPr>
          <w:ilvl w:val="0"/>
          <w:numId w:val="3"/>
        </w:numPr>
        <w:tabs>
          <w:tab w:val="clear" w:pos="1729"/>
        </w:tabs>
        <w:ind w:left="0" w:firstLine="360"/>
        <w:jc w:val="both"/>
        <w:rPr>
          <w:lang w:val="uk-UA"/>
        </w:rPr>
      </w:pPr>
      <w:proofErr w:type="spellStart"/>
      <w:r w:rsidRPr="00FA0BE6">
        <w:rPr>
          <w:b/>
          <w:lang w:val="uk-UA"/>
        </w:rPr>
        <w:t>Аленичев</w:t>
      </w:r>
      <w:proofErr w:type="spellEnd"/>
      <w:r w:rsidRPr="00FA0BE6">
        <w:rPr>
          <w:b/>
          <w:lang w:val="uk-UA"/>
        </w:rPr>
        <w:t xml:space="preserve"> Д.В. </w:t>
      </w:r>
      <w:proofErr w:type="spellStart"/>
      <w:r w:rsidRPr="00FA0BE6">
        <w:rPr>
          <w:lang w:val="uk-UA"/>
        </w:rPr>
        <w:t>Страхование</w:t>
      </w:r>
      <w:proofErr w:type="spellEnd"/>
      <w:r w:rsidRPr="00FA0BE6">
        <w:rPr>
          <w:lang w:val="uk-UA"/>
        </w:rPr>
        <w:t xml:space="preserve"> </w:t>
      </w:r>
      <w:proofErr w:type="spellStart"/>
      <w:r w:rsidRPr="00FA0BE6">
        <w:rPr>
          <w:lang w:val="uk-UA"/>
        </w:rPr>
        <w:t>валютных</w:t>
      </w:r>
      <w:proofErr w:type="spellEnd"/>
      <w:r w:rsidRPr="00FA0BE6">
        <w:rPr>
          <w:lang w:val="uk-UA"/>
        </w:rPr>
        <w:t xml:space="preserve"> </w:t>
      </w:r>
      <w:proofErr w:type="spellStart"/>
      <w:r w:rsidRPr="00FA0BE6">
        <w:rPr>
          <w:lang w:val="uk-UA"/>
        </w:rPr>
        <w:t>рисков</w:t>
      </w:r>
      <w:proofErr w:type="spellEnd"/>
      <w:r w:rsidRPr="00FA0BE6">
        <w:rPr>
          <w:lang w:val="uk-UA"/>
        </w:rPr>
        <w:t xml:space="preserve">, </w:t>
      </w:r>
      <w:proofErr w:type="spellStart"/>
      <w:r w:rsidRPr="00FA0BE6">
        <w:rPr>
          <w:lang w:val="uk-UA"/>
        </w:rPr>
        <w:t>банковских</w:t>
      </w:r>
      <w:proofErr w:type="spellEnd"/>
      <w:r w:rsidRPr="00FA0BE6">
        <w:rPr>
          <w:lang w:val="uk-UA"/>
        </w:rPr>
        <w:t xml:space="preserve"> и </w:t>
      </w:r>
      <w:proofErr w:type="spellStart"/>
      <w:r w:rsidRPr="00FA0BE6">
        <w:rPr>
          <w:lang w:val="uk-UA"/>
        </w:rPr>
        <w:t>экспортных</w:t>
      </w:r>
      <w:proofErr w:type="spellEnd"/>
      <w:r w:rsidRPr="00FA0BE6">
        <w:rPr>
          <w:lang w:val="uk-UA"/>
        </w:rPr>
        <w:t xml:space="preserve"> </w:t>
      </w:r>
      <w:proofErr w:type="spellStart"/>
      <w:r w:rsidRPr="00FA0BE6">
        <w:rPr>
          <w:lang w:val="uk-UA"/>
        </w:rPr>
        <w:t>коммерческих</w:t>
      </w:r>
      <w:proofErr w:type="spellEnd"/>
      <w:r w:rsidRPr="00FA0BE6">
        <w:rPr>
          <w:lang w:val="uk-UA"/>
        </w:rPr>
        <w:t xml:space="preserve"> </w:t>
      </w:r>
      <w:proofErr w:type="spellStart"/>
      <w:r w:rsidRPr="00FA0BE6">
        <w:rPr>
          <w:lang w:val="uk-UA"/>
        </w:rPr>
        <w:t>кредитов.-М</w:t>
      </w:r>
      <w:proofErr w:type="spellEnd"/>
      <w:r w:rsidRPr="00FA0BE6">
        <w:rPr>
          <w:lang w:val="uk-UA"/>
        </w:rPr>
        <w:t xml:space="preserve">.: </w:t>
      </w:r>
      <w:proofErr w:type="spellStart"/>
      <w:r w:rsidRPr="00FA0BE6">
        <w:rPr>
          <w:lang w:val="uk-UA"/>
        </w:rPr>
        <w:t>Издательство</w:t>
      </w:r>
      <w:proofErr w:type="spellEnd"/>
      <w:r w:rsidRPr="00FA0BE6">
        <w:rPr>
          <w:lang w:val="uk-UA"/>
        </w:rPr>
        <w:t xml:space="preserve"> "</w:t>
      </w:r>
      <w:proofErr w:type="spellStart"/>
      <w:r w:rsidRPr="00FA0BE6">
        <w:rPr>
          <w:lang w:val="uk-UA"/>
        </w:rPr>
        <w:t>Ист</w:t>
      </w:r>
      <w:proofErr w:type="spellEnd"/>
      <w:r w:rsidRPr="00FA0BE6">
        <w:rPr>
          <w:lang w:val="uk-UA"/>
        </w:rPr>
        <w:t xml:space="preserve"> </w:t>
      </w:r>
      <w:proofErr w:type="spellStart"/>
      <w:r w:rsidRPr="00FA0BE6">
        <w:rPr>
          <w:lang w:val="uk-UA"/>
        </w:rPr>
        <w:t>Сервис</w:t>
      </w:r>
      <w:proofErr w:type="spellEnd"/>
      <w:r w:rsidRPr="00FA0BE6">
        <w:rPr>
          <w:lang w:val="uk-UA"/>
        </w:rPr>
        <w:t>".- М.:1994.-114 с.</w:t>
      </w:r>
    </w:p>
    <w:p w:rsidR="00382ABC" w:rsidRPr="00FA0BE6" w:rsidRDefault="00382ABC" w:rsidP="00420F18">
      <w:pPr>
        <w:widowControl w:val="0"/>
        <w:numPr>
          <w:ilvl w:val="0"/>
          <w:numId w:val="3"/>
        </w:numPr>
        <w:tabs>
          <w:tab w:val="clear" w:pos="1729"/>
        </w:tabs>
        <w:ind w:left="0" w:firstLine="360"/>
        <w:jc w:val="both"/>
        <w:rPr>
          <w:lang w:val="uk-UA"/>
        </w:rPr>
      </w:pPr>
      <w:proofErr w:type="spellStart"/>
      <w:r w:rsidRPr="00FA0BE6">
        <w:rPr>
          <w:b/>
          <w:lang w:val="uk-UA"/>
        </w:rPr>
        <w:t>Совалов</w:t>
      </w:r>
      <w:proofErr w:type="spellEnd"/>
      <w:r w:rsidRPr="00FA0BE6">
        <w:rPr>
          <w:b/>
          <w:lang w:val="uk-UA"/>
        </w:rPr>
        <w:t xml:space="preserve"> А.М. </w:t>
      </w:r>
      <w:r w:rsidRPr="00FA0BE6">
        <w:rPr>
          <w:lang w:val="uk-UA"/>
        </w:rPr>
        <w:t>Аналіз фінансових ризиків. Підручник. – Харків, 2001.</w:t>
      </w:r>
    </w:p>
    <w:p w:rsidR="00382ABC" w:rsidRPr="00FA0BE6" w:rsidRDefault="00382ABC" w:rsidP="00420F18">
      <w:pPr>
        <w:widowControl w:val="0"/>
        <w:numPr>
          <w:ilvl w:val="0"/>
          <w:numId w:val="3"/>
        </w:numPr>
        <w:tabs>
          <w:tab w:val="clear" w:pos="1729"/>
        </w:tabs>
        <w:ind w:left="0" w:firstLine="360"/>
        <w:jc w:val="both"/>
        <w:rPr>
          <w:lang w:val="uk-UA"/>
        </w:rPr>
      </w:pPr>
      <w:proofErr w:type="spellStart"/>
      <w:r w:rsidRPr="00FA0BE6">
        <w:rPr>
          <w:b/>
          <w:lang w:val="uk-UA"/>
        </w:rPr>
        <w:t>Соколинская</w:t>
      </w:r>
      <w:proofErr w:type="spellEnd"/>
      <w:r w:rsidRPr="00FA0BE6">
        <w:rPr>
          <w:b/>
          <w:lang w:val="uk-UA"/>
        </w:rPr>
        <w:t xml:space="preserve"> Н.Э.</w:t>
      </w:r>
      <w:r w:rsidRPr="00FA0BE6">
        <w:rPr>
          <w:lang w:val="uk-UA"/>
        </w:rPr>
        <w:t xml:space="preserve"> </w:t>
      </w:r>
      <w:proofErr w:type="spellStart"/>
      <w:r w:rsidRPr="00FA0BE6">
        <w:rPr>
          <w:lang w:val="uk-UA"/>
        </w:rPr>
        <w:t>Банковские</w:t>
      </w:r>
      <w:proofErr w:type="spellEnd"/>
      <w:r w:rsidRPr="00FA0BE6">
        <w:rPr>
          <w:lang w:val="uk-UA"/>
        </w:rPr>
        <w:t xml:space="preserve"> риски. // </w:t>
      </w:r>
      <w:proofErr w:type="spellStart"/>
      <w:r w:rsidRPr="00FA0BE6">
        <w:rPr>
          <w:lang w:val="uk-UA"/>
        </w:rPr>
        <w:t>Деньги</w:t>
      </w:r>
      <w:proofErr w:type="spellEnd"/>
      <w:r w:rsidRPr="00FA0BE6">
        <w:rPr>
          <w:lang w:val="uk-UA"/>
        </w:rPr>
        <w:t xml:space="preserve"> и </w:t>
      </w:r>
      <w:proofErr w:type="spellStart"/>
      <w:r w:rsidRPr="00FA0BE6">
        <w:rPr>
          <w:lang w:val="uk-UA"/>
        </w:rPr>
        <w:t>кредит.-</w:t>
      </w:r>
      <w:proofErr w:type="spellEnd"/>
      <w:r w:rsidRPr="00FA0BE6">
        <w:rPr>
          <w:lang w:val="uk-UA"/>
        </w:rPr>
        <w:t xml:space="preserve"> 1993.-N 12.-С.21.</w:t>
      </w:r>
    </w:p>
    <w:p w:rsidR="00452E1E" w:rsidRPr="00BD2009" w:rsidRDefault="00452E1E" w:rsidP="001F6C74">
      <w:pPr>
        <w:rPr>
          <w:lang w:val="uk-UA"/>
        </w:rPr>
      </w:pPr>
    </w:p>
    <w:sectPr w:rsidR="00452E1E" w:rsidRPr="00BD2009" w:rsidSect="00452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83A54"/>
    <w:multiLevelType w:val="hybridMultilevel"/>
    <w:tmpl w:val="A010FD94"/>
    <w:lvl w:ilvl="0" w:tplc="22D4978E">
      <w:start w:val="1"/>
      <w:numFmt w:val="decimal"/>
      <w:lvlText w:val="%1."/>
      <w:lvlJc w:val="left"/>
      <w:pPr>
        <w:tabs>
          <w:tab w:val="num" w:pos="1654"/>
        </w:tabs>
        <w:ind w:left="1654" w:hanging="945"/>
      </w:pPr>
      <w:rPr>
        <w:rFonts w:hint="default"/>
      </w:rPr>
    </w:lvl>
    <w:lvl w:ilvl="1" w:tplc="0419000F">
      <w:start w:val="1"/>
      <w:numFmt w:val="decimal"/>
      <w:lvlText w:val="%2."/>
      <w:lvlJc w:val="left"/>
      <w:pPr>
        <w:tabs>
          <w:tab w:val="num" w:pos="1789"/>
        </w:tabs>
        <w:ind w:left="1789" w:hanging="360"/>
      </w:pPr>
      <w:rPr>
        <w:rFonts w:hint="default"/>
      </w:rPr>
    </w:lvl>
    <w:lvl w:ilvl="2" w:tplc="ACA0125C">
      <w:start w:val="1"/>
      <w:numFmt w:val="bullet"/>
      <w:lvlText w:val=""/>
      <w:lvlJc w:val="left"/>
      <w:pPr>
        <w:tabs>
          <w:tab w:val="num" w:pos="2689"/>
        </w:tabs>
        <w:ind w:left="2689" w:hanging="360"/>
      </w:pPr>
      <w:rPr>
        <w:rFonts w:ascii="Symbol" w:hAnsi="Symbol" w:hint="default"/>
      </w:rPr>
    </w:lvl>
    <w:lvl w:ilvl="3" w:tplc="FBE66CB6">
      <w:start w:val="3"/>
      <w:numFmt w:val="bullet"/>
      <w:lvlText w:val="–"/>
      <w:lvlJc w:val="left"/>
      <w:pPr>
        <w:tabs>
          <w:tab w:val="num" w:pos="3859"/>
        </w:tabs>
        <w:ind w:left="3859" w:hanging="990"/>
      </w:pPr>
      <w:rPr>
        <w:rFonts w:ascii="Times New Roman" w:eastAsia="Times New Roman" w:hAnsi="Times New Roman" w:cs="Times New Roman" w:hint="default"/>
      </w:rPr>
    </w:lvl>
    <w:lvl w:ilvl="4" w:tplc="8F02A14C">
      <w:start w:val="1"/>
      <w:numFmt w:val="decimal"/>
      <w:lvlText w:val="%5."/>
      <w:lvlJc w:val="left"/>
      <w:pPr>
        <w:tabs>
          <w:tab w:val="num" w:pos="3949"/>
        </w:tabs>
        <w:ind w:left="3949" w:hanging="360"/>
      </w:pPr>
      <w:rPr>
        <w:rFonts w:hint="default"/>
      </w:rPr>
    </w:lvl>
    <w:lvl w:ilvl="5" w:tplc="8F02A14C">
      <w:start w:val="1"/>
      <w:numFmt w:val="decimal"/>
      <w:lvlText w:val="%6."/>
      <w:lvlJc w:val="left"/>
      <w:pPr>
        <w:tabs>
          <w:tab w:val="num" w:pos="4849"/>
        </w:tabs>
        <w:ind w:left="4849" w:hanging="360"/>
      </w:pPr>
      <w:rPr>
        <w:rFonts w:hint="default"/>
      </w:rPr>
    </w:lvl>
    <w:lvl w:ilvl="6" w:tplc="8F02A14C">
      <w:start w:val="1"/>
      <w:numFmt w:val="decimal"/>
      <w:lvlText w:val="%7."/>
      <w:lvlJc w:val="left"/>
      <w:pPr>
        <w:tabs>
          <w:tab w:val="num" w:pos="4849"/>
        </w:tabs>
        <w:ind w:left="4849" w:hanging="360"/>
      </w:pPr>
      <w:rPr>
        <w:rFonts w:hint="default"/>
      </w:r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561A7422"/>
    <w:multiLevelType w:val="hybridMultilevel"/>
    <w:tmpl w:val="6E96F00E"/>
    <w:lvl w:ilvl="0" w:tplc="8F02A1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68C17F44"/>
    <w:multiLevelType w:val="hybridMultilevel"/>
    <w:tmpl w:val="69D23920"/>
    <w:lvl w:ilvl="0" w:tplc="FC001AC6">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29E5"/>
    <w:rsid w:val="00074576"/>
    <w:rsid w:val="000845F4"/>
    <w:rsid w:val="000B4E6B"/>
    <w:rsid w:val="001A715F"/>
    <w:rsid w:val="001F6C74"/>
    <w:rsid w:val="00282B09"/>
    <w:rsid w:val="00382ABC"/>
    <w:rsid w:val="00412D86"/>
    <w:rsid w:val="00420F18"/>
    <w:rsid w:val="00452E1E"/>
    <w:rsid w:val="004839A7"/>
    <w:rsid w:val="004C0C71"/>
    <w:rsid w:val="005E0245"/>
    <w:rsid w:val="005F5FA6"/>
    <w:rsid w:val="006E5A43"/>
    <w:rsid w:val="006F0F08"/>
    <w:rsid w:val="0076489B"/>
    <w:rsid w:val="007D2410"/>
    <w:rsid w:val="008F5480"/>
    <w:rsid w:val="00925687"/>
    <w:rsid w:val="009B29E5"/>
    <w:rsid w:val="009D3638"/>
    <w:rsid w:val="00BD2009"/>
    <w:rsid w:val="00BD2ED3"/>
    <w:rsid w:val="00BE4EC0"/>
    <w:rsid w:val="00CD37BF"/>
    <w:rsid w:val="00D80C60"/>
    <w:rsid w:val="00E528DF"/>
    <w:rsid w:val="00EB54D2"/>
    <w:rsid w:val="00F00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29E5"/>
    <w:rPr>
      <w:color w:val="0000FF"/>
      <w:u w:val="single"/>
    </w:rPr>
  </w:style>
  <w:style w:type="paragraph" w:styleId="a4">
    <w:name w:val="No Spacing"/>
    <w:qFormat/>
    <w:rsid w:val="009B29E5"/>
    <w:pPr>
      <w:spacing w:after="0" w:line="240" w:lineRule="auto"/>
    </w:pPr>
    <w:rPr>
      <w:rFonts w:ascii="Calibri" w:eastAsia="Calibri" w:hAnsi="Calibri" w:cs="Times New Roman"/>
    </w:rPr>
  </w:style>
  <w:style w:type="paragraph" w:customStyle="1" w:styleId="caaieiaie1">
    <w:name w:val="caaieiaie 1"/>
    <w:basedOn w:val="a"/>
    <w:next w:val="a"/>
    <w:rsid w:val="009B29E5"/>
    <w:pPr>
      <w:keepNext/>
      <w:overflowPunct w:val="0"/>
      <w:autoSpaceDE w:val="0"/>
      <w:autoSpaceDN w:val="0"/>
      <w:adjustRightInd w:val="0"/>
      <w:ind w:right="567"/>
      <w:jc w:val="center"/>
      <w:textAlignment w:val="baseline"/>
    </w:pPr>
    <w:rPr>
      <w:b/>
      <w:bCs/>
      <w:sz w:val="32"/>
      <w:szCs w:val="20"/>
    </w:rPr>
  </w:style>
  <w:style w:type="paragraph" w:styleId="HTML">
    <w:name w:val="HTML Preformatted"/>
    <w:basedOn w:val="a"/>
    <w:link w:val="HTML0"/>
    <w:rsid w:val="00BE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4EC0"/>
    <w:rPr>
      <w:rFonts w:ascii="Courier New" w:eastAsia="Times New Roman" w:hAnsi="Courier New" w:cs="Courier New"/>
      <w:sz w:val="20"/>
      <w:szCs w:val="20"/>
      <w:lang w:eastAsia="ru-RU"/>
    </w:rPr>
  </w:style>
  <w:style w:type="paragraph" w:styleId="a5">
    <w:name w:val="Body Text Indent"/>
    <w:basedOn w:val="a"/>
    <w:link w:val="a6"/>
    <w:rsid w:val="0076489B"/>
    <w:pPr>
      <w:ind w:left="-720" w:firstLine="360"/>
    </w:pPr>
    <w:rPr>
      <w:sz w:val="28"/>
      <w:lang w:val="uk-UA"/>
    </w:rPr>
  </w:style>
  <w:style w:type="character" w:customStyle="1" w:styleId="a6">
    <w:name w:val="Основной текст с отступом Знак"/>
    <w:basedOn w:val="a0"/>
    <w:link w:val="a5"/>
    <w:rsid w:val="0076489B"/>
    <w:rPr>
      <w:rFonts w:ascii="Times New Roman" w:eastAsia="Times New Roman" w:hAnsi="Times New Roman" w:cs="Times New Roman"/>
      <w:sz w:val="28"/>
      <w:szCs w:val="24"/>
      <w:lang w:val="uk-UA" w:eastAsia="ru-RU"/>
    </w:rPr>
  </w:style>
  <w:style w:type="paragraph" w:styleId="a7">
    <w:name w:val="Body Text"/>
    <w:basedOn w:val="a"/>
    <w:link w:val="a8"/>
    <w:rsid w:val="005E0245"/>
    <w:pPr>
      <w:spacing w:after="120"/>
    </w:pPr>
  </w:style>
  <w:style w:type="character" w:customStyle="1" w:styleId="a8">
    <w:name w:val="Основной текст Знак"/>
    <w:basedOn w:val="a0"/>
    <w:link w:val="a7"/>
    <w:rsid w:val="005E0245"/>
    <w:rPr>
      <w:rFonts w:ascii="Times New Roman" w:eastAsia="Times New Roman" w:hAnsi="Times New Roman" w:cs="Times New Roman"/>
      <w:sz w:val="24"/>
      <w:szCs w:val="24"/>
      <w:lang w:eastAsia="ru-RU"/>
    </w:rPr>
  </w:style>
  <w:style w:type="paragraph" w:customStyle="1" w:styleId="a9">
    <w:name w:val="Стиль По ширине"/>
    <w:basedOn w:val="a"/>
    <w:rsid w:val="005E0245"/>
    <w:pPr>
      <w:jc w:val="both"/>
    </w:pPr>
    <w:rPr>
      <w:szCs w:val="20"/>
    </w:rPr>
  </w:style>
  <w:style w:type="paragraph" w:styleId="3">
    <w:name w:val="Body Text Indent 3"/>
    <w:basedOn w:val="a"/>
    <w:link w:val="30"/>
    <w:rsid w:val="005E0245"/>
    <w:pPr>
      <w:spacing w:after="120"/>
      <w:ind w:left="283"/>
    </w:pPr>
    <w:rPr>
      <w:sz w:val="16"/>
      <w:szCs w:val="16"/>
    </w:rPr>
  </w:style>
  <w:style w:type="character" w:customStyle="1" w:styleId="30">
    <w:name w:val="Основной текст с отступом 3 Знак"/>
    <w:basedOn w:val="a0"/>
    <w:link w:val="3"/>
    <w:rsid w:val="005E0245"/>
    <w:rPr>
      <w:rFonts w:ascii="Times New Roman" w:eastAsia="Times New Roman" w:hAnsi="Times New Roman" w:cs="Times New Roman"/>
      <w:sz w:val="16"/>
      <w:szCs w:val="16"/>
      <w:lang w:eastAsia="ru-RU"/>
    </w:rPr>
  </w:style>
  <w:style w:type="paragraph" w:styleId="2">
    <w:name w:val="Body Text Indent 2"/>
    <w:basedOn w:val="a"/>
    <w:link w:val="20"/>
    <w:uiPriority w:val="99"/>
    <w:semiHidden/>
    <w:unhideWhenUsed/>
    <w:rsid w:val="00D80C60"/>
    <w:pPr>
      <w:spacing w:after="120" w:line="480" w:lineRule="auto"/>
      <w:ind w:left="283"/>
    </w:pPr>
  </w:style>
  <w:style w:type="character" w:customStyle="1" w:styleId="20">
    <w:name w:val="Основной текст с отступом 2 Знак"/>
    <w:basedOn w:val="a0"/>
    <w:link w:val="2"/>
    <w:uiPriority w:val="99"/>
    <w:semiHidden/>
    <w:rsid w:val="00D80C60"/>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D80C60"/>
    <w:pPr>
      <w:spacing w:after="120"/>
    </w:pPr>
    <w:rPr>
      <w:sz w:val="16"/>
      <w:szCs w:val="16"/>
    </w:rPr>
  </w:style>
  <w:style w:type="character" w:customStyle="1" w:styleId="32">
    <w:name w:val="Основной текст 3 Знак"/>
    <w:basedOn w:val="a0"/>
    <w:link w:val="31"/>
    <w:uiPriority w:val="99"/>
    <w:semiHidden/>
    <w:rsid w:val="00D80C60"/>
    <w:rPr>
      <w:rFonts w:ascii="Times New Roman" w:eastAsia="Times New Roman" w:hAnsi="Times New Roman" w:cs="Times New Roman"/>
      <w:sz w:val="16"/>
      <w:szCs w:val="16"/>
      <w:lang w:eastAsia="ru-RU"/>
    </w:rPr>
  </w:style>
  <w:style w:type="paragraph" w:styleId="21">
    <w:name w:val="Body Text 2"/>
    <w:aliases w:val=" Знак Знак"/>
    <w:basedOn w:val="a"/>
    <w:link w:val="22"/>
    <w:rsid w:val="00D80C60"/>
    <w:pPr>
      <w:spacing w:after="120" w:line="480" w:lineRule="auto"/>
    </w:pPr>
    <w:rPr>
      <w:lang w:val="uk-UA" w:eastAsia="uk-UA"/>
    </w:rPr>
  </w:style>
  <w:style w:type="character" w:customStyle="1" w:styleId="22">
    <w:name w:val="Основной текст 2 Знак"/>
    <w:aliases w:val=" Знак Знак Знак"/>
    <w:basedOn w:val="a0"/>
    <w:link w:val="21"/>
    <w:rsid w:val="00D80C60"/>
    <w:rPr>
      <w:rFonts w:ascii="Times New Roman" w:eastAsia="Times New Roman" w:hAnsi="Times New Roman" w:cs="Times New Roman"/>
      <w:sz w:val="24"/>
      <w:szCs w:val="24"/>
      <w:lang w:val="uk-UA" w:eastAsia="uk-UA"/>
    </w:rPr>
  </w:style>
  <w:style w:type="paragraph" w:customStyle="1" w:styleId="Normal">
    <w:name w:val="Normal"/>
    <w:rsid w:val="00D80C60"/>
    <w:pPr>
      <w:spacing w:before="100" w:after="100" w:line="240" w:lineRule="auto"/>
    </w:pPr>
    <w:rPr>
      <w:rFonts w:ascii="Times New Roman" w:eastAsia="Times New Roman" w:hAnsi="Times New Roman" w:cs="Times New Roman"/>
      <w:snapToGrid w:val="0"/>
      <w:sz w:val="24"/>
      <w:szCs w:val="20"/>
      <w:lang w:eastAsia="ru-RU"/>
    </w:rPr>
  </w:style>
  <w:style w:type="table" w:styleId="aa">
    <w:name w:val="Table Grid"/>
    <w:basedOn w:val="a1"/>
    <w:rsid w:val="00EB54D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F0F08"/>
    <w:rPr>
      <w:rFonts w:ascii="Tahoma" w:hAnsi="Tahoma" w:cs="Tahoma"/>
      <w:sz w:val="16"/>
      <w:szCs w:val="16"/>
    </w:rPr>
  </w:style>
  <w:style w:type="character" w:customStyle="1" w:styleId="ac">
    <w:name w:val="Текст выноски Знак"/>
    <w:basedOn w:val="a0"/>
    <w:link w:val="ab"/>
    <w:uiPriority w:val="99"/>
    <w:semiHidden/>
    <w:rsid w:val="006F0F08"/>
    <w:rPr>
      <w:rFonts w:ascii="Tahoma" w:eastAsia="Times New Roman" w:hAnsi="Tahoma" w:cs="Tahoma"/>
      <w:sz w:val="16"/>
      <w:szCs w:val="16"/>
      <w:lang w:eastAsia="ru-RU"/>
    </w:rPr>
  </w:style>
  <w:style w:type="paragraph" w:styleId="ad">
    <w:name w:val="Normal (Web)"/>
    <w:basedOn w:val="a"/>
    <w:rsid w:val="00E528DF"/>
    <w:pPr>
      <w:spacing w:before="100" w:beforeAutospacing="1" w:after="100" w:afterAutospacing="1"/>
    </w:pPr>
  </w:style>
  <w:style w:type="paragraph" w:styleId="ae">
    <w:name w:val="List Paragraph"/>
    <w:basedOn w:val="a"/>
    <w:qFormat/>
    <w:rsid w:val="00E528DF"/>
    <w:pPr>
      <w:spacing w:after="200" w:line="276" w:lineRule="auto"/>
      <w:ind w:left="720"/>
      <w:contextualSpacing/>
    </w:pPr>
    <w:rPr>
      <w:rFonts w:ascii="Calibri" w:eastAsia="Calibri" w:hAnsi="Calibri"/>
      <w:sz w:val="22"/>
      <w:szCs w:val="22"/>
      <w:lang w:eastAsia="en-US"/>
    </w:rPr>
  </w:style>
  <w:style w:type="paragraph" w:customStyle="1" w:styleId="1">
    <w:name w:val="Стиль1"/>
    <w:basedOn w:val="af"/>
    <w:rsid w:val="00E528DF"/>
    <w:pPr>
      <w:widowControl w:val="0"/>
      <w:numPr>
        <w:numId w:val="0"/>
      </w:numPr>
      <w:tabs>
        <w:tab w:val="num" w:pos="360"/>
      </w:tabs>
      <w:spacing w:after="200" w:line="288" w:lineRule="auto"/>
      <w:ind w:left="360" w:hanging="360"/>
      <w:contextualSpacing w:val="0"/>
      <w:jc w:val="both"/>
    </w:pPr>
    <w:rPr>
      <w:sz w:val="28"/>
      <w:szCs w:val="28"/>
    </w:rPr>
  </w:style>
  <w:style w:type="paragraph" w:styleId="af">
    <w:name w:val="List Bullet"/>
    <w:basedOn w:val="a"/>
    <w:uiPriority w:val="99"/>
    <w:semiHidden/>
    <w:unhideWhenUsed/>
    <w:rsid w:val="00E528DF"/>
    <w:pPr>
      <w:numPr>
        <w:numId w:val="2"/>
      </w:numPr>
      <w:contextualSpacing/>
    </w:pPr>
  </w:style>
  <w:style w:type="paragraph" w:customStyle="1" w:styleId="ListParagraph">
    <w:name w:val="List Paragraph"/>
    <w:basedOn w:val="a"/>
    <w:rsid w:val="00074576"/>
    <w:pPr>
      <w:spacing w:after="200" w:line="276" w:lineRule="auto"/>
      <w:ind w:left="720"/>
    </w:pPr>
    <w:rPr>
      <w:rFonts w:ascii="Calibri" w:hAnsi="Calibri"/>
      <w:sz w:val="22"/>
      <w:szCs w:val="22"/>
      <w:lang w:eastAsia="en-US"/>
    </w:rPr>
  </w:style>
  <w:style w:type="paragraph" w:styleId="af0">
    <w:name w:val="Title"/>
    <w:basedOn w:val="a"/>
    <w:link w:val="af1"/>
    <w:qFormat/>
    <w:rsid w:val="001F6C74"/>
    <w:pPr>
      <w:ind w:firstLine="540"/>
      <w:jc w:val="center"/>
    </w:pPr>
    <w:rPr>
      <w:b/>
      <w:bCs/>
      <w:sz w:val="36"/>
      <w:lang w:val="uk-UA"/>
    </w:rPr>
  </w:style>
  <w:style w:type="character" w:customStyle="1" w:styleId="af1">
    <w:name w:val="Название Знак"/>
    <w:basedOn w:val="a0"/>
    <w:link w:val="af0"/>
    <w:rsid w:val="001F6C74"/>
    <w:rPr>
      <w:rFonts w:ascii="Times New Roman" w:eastAsia="Times New Roman" w:hAnsi="Times New Roman" w:cs="Times New Roman"/>
      <w:b/>
      <w:bCs/>
      <w:sz w:val="36"/>
      <w:szCs w:val="24"/>
      <w:lang w:val="uk-UA" w:eastAsia="ru-RU"/>
    </w:rPr>
  </w:style>
  <w:style w:type="paragraph" w:styleId="af2">
    <w:name w:val="Subtitle"/>
    <w:basedOn w:val="a"/>
    <w:link w:val="af3"/>
    <w:qFormat/>
    <w:rsid w:val="001F6C74"/>
    <w:pPr>
      <w:ind w:firstLine="540"/>
      <w:jc w:val="both"/>
    </w:pPr>
    <w:rPr>
      <w:rFonts w:ascii="Arial Black" w:hAnsi="Arial Black"/>
      <w:sz w:val="28"/>
      <w:lang w:val="uk-UA"/>
    </w:rPr>
  </w:style>
  <w:style w:type="character" w:customStyle="1" w:styleId="af3">
    <w:name w:val="Подзаголовок Знак"/>
    <w:basedOn w:val="a0"/>
    <w:link w:val="af2"/>
    <w:rsid w:val="001F6C74"/>
    <w:rPr>
      <w:rFonts w:ascii="Arial Black" w:eastAsia="Times New Roman" w:hAnsi="Arial Black" w:cs="Times New Roman"/>
      <w:sz w:val="28"/>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1906</Words>
  <Characters>10865</Characters>
  <Application>Microsoft Office Word</Application>
  <DocSecurity>0</DocSecurity>
  <Lines>90</Lines>
  <Paragraphs>25</Paragraphs>
  <ScaleCrop>false</ScaleCrop>
  <Company>RePack by SPecialiST</Company>
  <LinksUpToDate>false</LinksUpToDate>
  <CharactersWithSpaces>12746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hyorinmaru</dc:creator>
  <cp:lastModifiedBy>hyorinmaru</cp:lastModifiedBy>
  <cp:revision>2</cp:revision>
  <dcterms:created xsi:type="dcterms:W3CDTF">2013-05-26T08:24:00Z</dcterms:created>
  <dcterms:modified xsi:type="dcterms:W3CDTF">2013-05-26T08:24:00Z</dcterms:modified>
</cp:coreProperties>
</file>