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CD" w:rsidRPr="00EC4869" w:rsidRDefault="00BD074D" w:rsidP="00EC4869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EC4869">
        <w:rPr>
          <w:rFonts w:ascii="Times New Roman" w:hAnsi="Times New Roman" w:cs="Times New Roman"/>
          <w:bCs/>
          <w:lang w:val="ru-RU"/>
        </w:rPr>
        <w:t xml:space="preserve">Биркентале В.В. </w:t>
      </w:r>
      <w:r w:rsidRPr="00EC4869">
        <w:rPr>
          <w:rFonts w:ascii="Times New Roman" w:hAnsi="Times New Roman" w:cs="Times New Roman"/>
          <w:bCs/>
          <w:spacing w:val="-4"/>
          <w:lang w:val="ru-RU"/>
        </w:rPr>
        <w:t>Роль корпоративной социальной ответственности  в менеджменте организаций</w:t>
      </w:r>
      <w:r w:rsidR="00E20A63" w:rsidRPr="00EC4869">
        <w:rPr>
          <w:rFonts w:ascii="Times New Roman" w:hAnsi="Times New Roman" w:cs="Times New Roman"/>
          <w:bCs/>
          <w:spacing w:val="-4"/>
          <w:lang w:val="ru-RU"/>
        </w:rPr>
        <w:t xml:space="preserve"> //</w:t>
      </w:r>
      <w:r w:rsidRPr="00EC4869">
        <w:rPr>
          <w:rFonts w:ascii="Times New Roman" w:hAnsi="Times New Roman" w:cs="Times New Roman"/>
          <w:bCs/>
          <w:spacing w:val="-4"/>
          <w:lang w:val="ru-RU"/>
        </w:rPr>
        <w:t xml:space="preserve"> Проблемы развития внешнеэкономических связей и привлечение иностранных инвестиций: региональный аспект. Сборник научных трудов. Донецк: ДонНУ, 2012. – Т.ІІ . – С. 51-54. </w:t>
      </w:r>
      <w:r w:rsidRPr="00EC4869">
        <w:rPr>
          <w:rFonts w:ascii="Times New Roman" w:hAnsi="Times New Roman" w:cs="Times New Roman"/>
          <w:b/>
          <w:lang w:val="ru-RU"/>
        </w:rPr>
        <w:t>(фахове видання)</w:t>
      </w:r>
      <w:r w:rsidR="00EC4869">
        <w:rPr>
          <w:rFonts w:ascii="Times New Roman" w:hAnsi="Times New Roman" w:cs="Times New Roman"/>
          <w:b/>
          <w:lang w:val="ru-RU"/>
        </w:rPr>
        <w:t>.</w:t>
      </w:r>
    </w:p>
    <w:p w:rsidR="00EC4869" w:rsidRDefault="00EC4869" w:rsidP="00EC4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РОЛЬ КОРПОРАТИВНОЙ СОЦИАЛЬНОЙ ОТВЕТСТВЕННОСТИ </w:t>
      </w:r>
    </w:p>
    <w:p w:rsidR="00EC4869" w:rsidRPr="00EC4869" w:rsidRDefault="00EC4869" w:rsidP="00EC4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b/>
          <w:sz w:val="20"/>
          <w:szCs w:val="20"/>
          <w:lang w:val="ru-RU"/>
        </w:rPr>
        <w:t>В МЕНЕДЖМЕНТЕ ОРГАНИЗАЦИЙ</w:t>
      </w:r>
    </w:p>
    <w:p w:rsidR="00EC4869" w:rsidRPr="00EC4869" w:rsidRDefault="00EC4869" w:rsidP="00EC48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mallCaps/>
          <w:sz w:val="20"/>
          <w:szCs w:val="20"/>
          <w:lang w:val="ru-RU"/>
        </w:rPr>
        <w:t>БИРКЕНТАЛЕ В.В.</w:t>
      </w:r>
    </w:p>
    <w:p w:rsidR="00EC4869" w:rsidRPr="00EC4869" w:rsidRDefault="00EC4869" w:rsidP="00EC4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к.э.н., доцент кафедры МиХП ДонНТУ</w:t>
      </w:r>
    </w:p>
    <w:p w:rsidR="00EC4869" w:rsidRPr="00EC4869" w:rsidRDefault="00EC4869" w:rsidP="00EC48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Социальная направленность рыночных преобразований и политики устойчивого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роста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как в развивающихся странах, так и в странах с высоким уровнем экономического развития, заставляет все чаще обращаться к проблеме социальной ответственности бизнеса.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В современной экономической литературе существует достаточно широкий круг понятий, которые включает «корпоративная социальная ответственность» (КСО). Разнообразие подходов определило различные уровни измерения и неоднозначное толкование перечня составляющих элементов модели КСО [1-3]. В обобщенном виде, основными направлениями социальной ответственности корпораций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перед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своими стейкхолдерами являются:  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перед сотрудниками;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перед потребителями;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за состояние окружающей среды;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перед обществом;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перед государством;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перед конкурентами;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перед международным сообществом.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Проблема социальной ответственности бизнеса возникла еще в конце ХІ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Х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– начале ХХ столетия. Более активно начала исследоваться в 60-е годы ХХ столетия, когда Г. Боуэн, Э. Карнеги, Ф. Котлер,  П. Друкер, А. Кэролл, Н. Ли и др. начали выдвигать собственные теории для определения социальной миссии корпораций. Не смотря на то, что в Украине проблеме КСО начали уделять внимание сравнительно недавно, она получила уже достаточно широкое освещение в научных трудах отечественных ученых и специалистов – И. Гнибиденко, А. Колота,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А. Кузнецовой, О. Новиковой,</w:t>
      </w: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Т. Смовженко, И. Сторонянской и других.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В то же время, остается недостаточно изученным вопрос эффективности КСО с точки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зрения достижения целей менеджмента организаций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. Это определяет актуальность рассматриваемой проблемы и главную цель данной работы – обоснование роли КСО как фактора повышения эффективности менеджмента организаций.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Отметим, что теория КСО «по-умолчанию» предполагает получение прибыли предприятием, так как компания не может считаться ответственной, принося убытки собственникам и акционерам. Какие же выгоды получает корпорация, вкладывая средства в программы в рамках социальной ответственности? Логика подсказывает, что обоюдную выгоду получают все стороны-участники. Основными результатами внедрения программ КСО являются:</w:t>
      </w:r>
    </w:p>
    <w:p w:rsidR="00EC4869" w:rsidRPr="00EC4869" w:rsidRDefault="00EC4869" w:rsidP="00EC4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улучшение взаимодействия с общественными организациями и местной властью;</w:t>
      </w:r>
    </w:p>
    <w:p w:rsidR="00EC4869" w:rsidRPr="00EC4869" w:rsidRDefault="00EC4869" w:rsidP="00EC4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формирование позитивного имиджа организации;</w:t>
      </w:r>
    </w:p>
    <w:p w:rsidR="00EC4869" w:rsidRPr="00EC4869" w:rsidRDefault="00EC4869" w:rsidP="00EC4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повышение интереса инвесторов;</w:t>
      </w:r>
    </w:p>
    <w:p w:rsidR="00EC4869" w:rsidRPr="00EC4869" w:rsidRDefault="00EC4869" w:rsidP="00EC4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повышение мотивации и производительности работников;</w:t>
      </w:r>
    </w:p>
    <w:p w:rsidR="00EC4869" w:rsidRPr="006A1D7B" w:rsidRDefault="00EC4869" w:rsidP="00EC4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1D7B">
        <w:rPr>
          <w:rFonts w:ascii="Times New Roman" w:hAnsi="Times New Roman" w:cs="Times New Roman"/>
          <w:sz w:val="20"/>
          <w:szCs w:val="20"/>
          <w:lang w:val="ru-RU"/>
        </w:rPr>
        <w:t>увеличение рыночной доли продаж компании.</w:t>
      </w:r>
    </w:p>
    <w:p w:rsidR="00EC4869" w:rsidRPr="006A1D7B" w:rsidRDefault="00EC4869" w:rsidP="00EC4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1D7B">
        <w:rPr>
          <w:rFonts w:ascii="Times New Roman" w:hAnsi="Times New Roman" w:cs="Times New Roman"/>
          <w:sz w:val="20"/>
          <w:szCs w:val="20"/>
          <w:lang w:val="ru-RU"/>
        </w:rPr>
        <w:t xml:space="preserve">уменьшение  операционных затрат. </w:t>
      </w:r>
    </w:p>
    <w:p w:rsidR="00EC4869" w:rsidRPr="006A1D7B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1D7B">
        <w:rPr>
          <w:rFonts w:ascii="Times New Roman" w:hAnsi="Times New Roman" w:cs="Times New Roman"/>
          <w:sz w:val="20"/>
          <w:szCs w:val="20"/>
          <w:lang w:val="ru-RU"/>
        </w:rPr>
        <w:t>Рассмотрим подробнее  – каким образом участие компаний в реализации социальных программ способствует достижению целей их деятельности.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1D7B">
        <w:rPr>
          <w:rFonts w:ascii="Times New Roman" w:hAnsi="Times New Roman" w:cs="Times New Roman"/>
          <w:sz w:val="20"/>
          <w:szCs w:val="20"/>
          <w:lang w:val="ru-RU"/>
        </w:rPr>
        <w:t>На сегодня, Украина пока не достигла докризисных показателей экономического роста 90-х годов ХХ ст. Преодоление кризисных процессов и устойчивый рост невозможны без создания условий для реализации интеллектуал</w:t>
      </w:r>
      <w:bookmarkStart w:id="0" w:name="_GoBack"/>
      <w:r w:rsidRPr="006A1D7B">
        <w:rPr>
          <w:rFonts w:ascii="Times New Roman" w:hAnsi="Times New Roman" w:cs="Times New Roman"/>
          <w:sz w:val="20"/>
          <w:szCs w:val="20"/>
          <w:lang w:val="ru-RU"/>
        </w:rPr>
        <w:t>ь</w:t>
      </w:r>
      <w:bookmarkEnd w:id="0"/>
      <w:r w:rsidRPr="006A1D7B">
        <w:rPr>
          <w:rFonts w:ascii="Times New Roman" w:hAnsi="Times New Roman" w:cs="Times New Roman"/>
          <w:sz w:val="20"/>
          <w:szCs w:val="20"/>
          <w:lang w:val="ru-RU"/>
        </w:rPr>
        <w:t xml:space="preserve">ного потенциала предприятий и регионов страны, без модернизации экономики. С учетом новых тенденций, продиктованных временем, переход от традиционного общества (где жизнь происходит по обычаям, а дети стремятся жить так, как жили отцы) к </w:t>
      </w:r>
      <w:proofErr w:type="gramStart"/>
      <w:r w:rsidRPr="006A1D7B">
        <w:rPr>
          <w:rFonts w:ascii="Times New Roman" w:hAnsi="Times New Roman" w:cs="Times New Roman"/>
          <w:sz w:val="20"/>
          <w:szCs w:val="20"/>
          <w:lang w:val="ru-RU"/>
        </w:rPr>
        <w:t>современному</w:t>
      </w:r>
      <w:proofErr w:type="gramEnd"/>
      <w:r w:rsidRPr="006A1D7B">
        <w:rPr>
          <w:rFonts w:ascii="Times New Roman" w:hAnsi="Times New Roman" w:cs="Times New Roman"/>
          <w:sz w:val="20"/>
          <w:szCs w:val="20"/>
          <w:lang w:val="ru-RU"/>
        </w:rPr>
        <w:t xml:space="preserve"> – это не столько экономический, сколько социокультурный процесс. Он связан</w:t>
      </w: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с повышением автономности человека, урбанизацией, сменой типов поведения и т.д. Результатом модернизации должна стать смена экономических приоритетов. 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Так, эксперты Комиссии по модернизации экономики России в результате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анализа истории ряда стран Азии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выделили следующие индикаторы, позволяющие судить о том, что страна идет по пути модернизации:</w:t>
      </w:r>
    </w:p>
    <w:p w:rsidR="00EC4869" w:rsidRPr="00EC4869" w:rsidRDefault="00EC4869" w:rsidP="00EC4869">
      <w:pPr>
        <w:numPr>
          <w:ilvl w:val="0"/>
          <w:numId w:val="2"/>
        </w:numPr>
        <w:tabs>
          <w:tab w:val="clear" w:pos="2374"/>
          <w:tab w:val="num" w:pos="-18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в стране ценности самовыражения становятся важнее, чем ценности выживания;</w:t>
      </w:r>
    </w:p>
    <w:p w:rsidR="00EC4869" w:rsidRPr="00EC4869" w:rsidRDefault="00EC4869" w:rsidP="00EC4869">
      <w:pPr>
        <w:numPr>
          <w:ilvl w:val="0"/>
          <w:numId w:val="2"/>
        </w:numPr>
        <w:tabs>
          <w:tab w:val="clear" w:pos="2374"/>
          <w:tab w:val="num" w:pos="-180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lastRenderedPageBreak/>
        <w:t>ценности рационально-секулятивные, то есть не связанные с религией, преобладают над ценностями религиозными;</w:t>
      </w:r>
    </w:p>
    <w:p w:rsidR="00EC4869" w:rsidRPr="00EC4869" w:rsidRDefault="00EC4869" w:rsidP="00EC4869">
      <w:pPr>
        <w:numPr>
          <w:ilvl w:val="0"/>
          <w:numId w:val="2"/>
        </w:numPr>
        <w:tabs>
          <w:tab w:val="clear" w:pos="2374"/>
          <w:tab w:val="num" w:pos="-1800"/>
        </w:tabs>
        <w:spacing w:after="0" w:line="240" w:lineRule="auto"/>
        <w:ind w:left="538" w:hanging="18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резко возрастает индивидуализм и готовность действовать вопреки ограничениям коллективистских культур;</w:t>
      </w:r>
    </w:p>
    <w:p w:rsidR="00EC4869" w:rsidRPr="00EC4869" w:rsidRDefault="00EC4869" w:rsidP="00EC4869">
      <w:pPr>
        <w:numPr>
          <w:ilvl w:val="0"/>
          <w:numId w:val="2"/>
        </w:numPr>
        <w:tabs>
          <w:tab w:val="clear" w:pos="2374"/>
          <w:tab w:val="num" w:pos="-1800"/>
        </w:tabs>
        <w:spacing w:after="0" w:line="240" w:lineRule="auto"/>
        <w:ind w:left="538" w:hanging="18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более важным для людей становится наличие долгосрочного горизонта – результат для них важнее процесса.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Компании все еще остаются под давлением фактора стоимости, однако сейчас они больше, чем несколько лет назад, уделяют внимание наращиванию доли рынка и подготовке к будущему, что находит свое отражение в усилиях менеджмента.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Согласно данным результатов регулярного ежегодного исследования, проведенного Economist Intelligence Unit (EIU) в декабре </w:t>
      </w:r>
      <w:smartTag w:uri="urn:schemas-microsoft-com:office:smarttags" w:element="metricconverter">
        <w:smartTagPr>
          <w:attr w:name="ProductID" w:val="2010 г"/>
        </w:smartTagPr>
        <w:r w:rsidRPr="00EC4869">
          <w:rPr>
            <w:rFonts w:ascii="Times New Roman" w:hAnsi="Times New Roman" w:cs="Times New Roman"/>
            <w:sz w:val="20"/>
            <w:szCs w:val="20"/>
            <w:lang w:val="ru-RU"/>
          </w:rPr>
          <w:t>2010 г</w:t>
        </w:r>
      </w:smartTag>
      <w:r w:rsidRPr="00EC4869">
        <w:rPr>
          <w:rFonts w:ascii="Times New Roman" w:hAnsi="Times New Roman" w:cs="Times New Roman"/>
          <w:sz w:val="20"/>
          <w:szCs w:val="20"/>
          <w:lang w:val="ru-RU"/>
        </w:rPr>
        <w:t>., тремя главными целями менеджмента в ближайшие годы будут увеличение оборота (55% опрошенных), подготовка организации к будущему (52%) и сокращение расходов (50%). Приоритеты компаний диаметрально отличаются от тех, которые назывались в ходе предыдущих исследований. Респондентами исследования стали 288 руководителей, представлявших компании, имеющие штаб-квартиры в Северной, Латинской Америке и Западной Европе. 75 % опрошенных были из организаций, годовой доход которых превышает $1 млрд. По данным исследования сделаны и другие важные выводы:</w:t>
      </w:r>
    </w:p>
    <w:p w:rsidR="00EC4869" w:rsidRPr="00EC4869" w:rsidRDefault="00EC4869" w:rsidP="00EC4869">
      <w:pPr>
        <w:numPr>
          <w:ilvl w:val="0"/>
          <w:numId w:val="1"/>
        </w:numPr>
        <w:tabs>
          <w:tab w:val="clear" w:pos="2363"/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продажи и маркетинг – главные сферы по изменениям в будущем;</w:t>
      </w:r>
    </w:p>
    <w:p w:rsidR="00EC4869" w:rsidRPr="00EC4869" w:rsidRDefault="00EC4869" w:rsidP="00EC4869">
      <w:pPr>
        <w:numPr>
          <w:ilvl w:val="0"/>
          <w:numId w:val="1"/>
        </w:numPr>
        <w:tabs>
          <w:tab w:val="clear" w:pos="2363"/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большинство компаний пока не добились существенного успеха в менеджменте перемен (только 66 % инициатив становятся успешными);</w:t>
      </w:r>
    </w:p>
    <w:p w:rsidR="00EC4869" w:rsidRPr="00EC4869" w:rsidRDefault="00EC4869" w:rsidP="00EC4869">
      <w:pPr>
        <w:numPr>
          <w:ilvl w:val="0"/>
          <w:numId w:val="1"/>
        </w:numPr>
        <w:tabs>
          <w:tab w:val="clear" w:pos="2363"/>
          <w:tab w:val="num" w:pos="180"/>
        </w:tabs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недостаток компетенций менеджмента является главным препятствием на пути перемен (указали 40 % опрошенных).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Репутационная политика региона напрямую связана с репутацией бизнесов, развивающихся на его территории, так как происходит мгновенное проецирование уровня «чистоты» одного предприятия на другие предприятия и на регион в целом. Для поддержания привлекательности региона местная власть должна культивировать дух здорового сотрудничества. Экономические права каждого инвестора, включая и возможности для осуществления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бизнес-деятельности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(поддержка, налоговые льготы, затраты и др.), должны быть одинаковыми для всех субъектов.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Если проанализировать практику, складывающуюся за последние десять лет среди крупнейших компаний мира, можно сделать вывод, что репутацию можно определить как отличный PR сильной корпоративной культуры организации. Полемичным является вопрос – что оказывает более сильное воздействие: рекламное сообщение или рекомендации сотрудников определенной компании? Исследования показывают, что доверие к специалистам на порядок выше. Безусловно, реклама важна, поскольку она служит продвижению корпоративного бренда компании, но бренд – обещание рынку быть кем-то, а репутация – то,  в какой мере компания следует данному обещанию. Потенциальные крупные инвесторы практически не реагируют на рекламу и прямые продажи, ограничивают свой круг общения, поэтому традиционные методы оказываются малоэффективны. Информация к ним поступает, преимущественно из их близкого окружения (партнеров, друзей). Поэтому все усилия должны быть направлены на то, чтобы инвестор получал информацию о положительном опыте взаимодействия и работы с компаниями в регионе.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Как сформировать такую корпоративную культуру репутации, где каждый сотрудник выполнял бы роль репутационного агента? С учетом того, что репутация – это ценности, которые разделяются, необходимо формировать коллектив из таких сотрудников, которые не только подходили бы по формальным критериям к должности, но и потенциально были бы готовы разделить ценности компании. Именно такие работники не просто лояльны к компании, они по-настоящему ей преданы и готовы переживать с ней как успехи, так и неудачи. Ведь если человеку не важна репутация его компании, вряд ли он будет ее рекомендовать.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Формирование бренда компании – это, как правило, очень трудоемкий и дорогостоящий процесс. Однако преимущества, которые она получает в результате, окупаются с лихвой. Это, конечно, в том случае, если к вопросу подойти грамотно и осознанно. Хорошее владение данным вопросом является критически важным для собственников и HR-руководителей. Формированием бренда работодателя стоит заниматься, если у компании есть долгосрочные амбиции.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Должны быль сформулированы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видение, миссия, ценности, которые необходимо транслировать всем своим стейкхолдерам для достижения желаемой репутации. Для того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,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чтобы всего этого достичь, одних только денежных инвестиций недостаточно. Достижения и успехи компании создает и ее персонал – именно от того, какие люди, с точки зрения не только профессиональных, но и личностных качеств, работают на компанию, зависит качество предлагаемых услуг или товаров. Все конкурирующие компании одинаково заинтересованы в привлечении опытных и квалифицированных работников. А в ситуации, когда большинство компаний предлагают сходные условия труда, их имидж и бренд играют решающую роль (см. таблицу 1). Если бренд компании как работодателя сформирован качественно, то работать на нее становится престижно, компания легче получает лояльность персонала.Организация, реализующая такой подход, закрепляется в сознании сотрудников и их ближайшего окружения как ответственный и эффективный работодатель. Компания, думающая о бренде работодателя, должна быть последовательной в своих действиях относительно сотрудников.</w:t>
      </w:r>
    </w:p>
    <w:p w:rsidR="00442272" w:rsidRDefault="00442272" w:rsidP="00EC48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Таблица 1</w:t>
      </w:r>
    </w:p>
    <w:p w:rsidR="00EC4869" w:rsidRPr="00EC4869" w:rsidRDefault="00EC4869" w:rsidP="00EC4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b/>
          <w:sz w:val="20"/>
          <w:szCs w:val="20"/>
          <w:lang w:val="ru-RU"/>
        </w:rPr>
        <w:t>Самые уважаемые работодатели Украины – 2010 [4]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0"/>
        <w:gridCol w:w="1260"/>
        <w:gridCol w:w="900"/>
        <w:gridCol w:w="2520"/>
        <w:gridCol w:w="1080"/>
      </w:tblGrid>
      <w:tr w:rsidR="00EC4869" w:rsidRPr="00EC4869" w:rsidTr="00A456DB">
        <w:tc>
          <w:tcPr>
            <w:tcW w:w="720" w:type="dxa"/>
            <w:vAlign w:val="center"/>
          </w:tcPr>
          <w:p w:rsidR="00EC4869" w:rsidRPr="00EC4869" w:rsidRDefault="00EC4869" w:rsidP="00EC48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980" w:type="dxa"/>
            <w:vAlign w:val="center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Компания</w:t>
            </w:r>
          </w:p>
        </w:tc>
        <w:tc>
          <w:tcPr>
            <w:tcW w:w="1260" w:type="dxa"/>
            <w:vAlign w:val="center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Индекс WorkRep</w:t>
            </w:r>
          </w:p>
        </w:tc>
        <w:tc>
          <w:tcPr>
            <w:tcW w:w="900" w:type="dxa"/>
            <w:vAlign w:val="center"/>
          </w:tcPr>
          <w:p w:rsidR="00EC4869" w:rsidRPr="00EC4869" w:rsidRDefault="00EC4869" w:rsidP="00EC48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520" w:type="dxa"/>
            <w:vAlign w:val="center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Компания</w:t>
            </w:r>
          </w:p>
        </w:tc>
        <w:tc>
          <w:tcPr>
            <w:tcW w:w="1080" w:type="dxa"/>
            <w:vAlign w:val="center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Индекс WorkRep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L’Oreal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79,82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IBM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75,30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Microsoft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78,62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Оболонь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75,22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Nestle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77,83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Procter&amp;Gamble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74,96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Samsung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77,83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Phillips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74,64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Kraft Foods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77,57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OTP Bank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73,69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CKM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77,39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ДТЭК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72,29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Сандора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77,38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Coca-Cola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72,02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77,27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Нафтогаз Украины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71,68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Метинвест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77,20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Лукойл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71,47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Рошен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76,57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Райффайзен Банк Аваль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71,15</w:t>
            </w:r>
          </w:p>
        </w:tc>
      </w:tr>
      <w:tr w:rsidR="00EC4869" w:rsidRPr="00EC4869" w:rsidTr="00A456DB">
        <w:tc>
          <w:tcPr>
            <w:tcW w:w="72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Киевстар</w:t>
            </w:r>
          </w:p>
        </w:tc>
        <w:tc>
          <w:tcPr>
            <w:tcW w:w="126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75,66</w:t>
            </w:r>
          </w:p>
        </w:tc>
        <w:tc>
          <w:tcPr>
            <w:tcW w:w="90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520" w:type="dxa"/>
          </w:tcPr>
          <w:p w:rsidR="00EC4869" w:rsidRPr="00EC4869" w:rsidRDefault="00EC4869" w:rsidP="00EC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Nemiroff</w:t>
            </w:r>
          </w:p>
        </w:tc>
        <w:tc>
          <w:tcPr>
            <w:tcW w:w="1080" w:type="dxa"/>
          </w:tcPr>
          <w:p w:rsidR="00EC4869" w:rsidRPr="00EC4869" w:rsidRDefault="00EC4869" w:rsidP="00EC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48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70,90</w:t>
            </w:r>
          </w:p>
        </w:tc>
      </w:tr>
    </w:tbl>
    <w:p w:rsidR="00EC4869" w:rsidRPr="00EC4869" w:rsidRDefault="00EC4869" w:rsidP="00EC486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Несмотря на кризисные настроения последних лет, на первый план выходят три фактора, критически важные в удержании уже работающих сотрудников и привлечении новых: возможность приобрести ценный опыт, знания и навыки в процессе работы; возможность построить карьеру в компании; ее социальное лицо и ответственность перед обществом. Такие международные компании, как Microsoft, Kraft, Nestle, Coca-Cola, P&amp;G, привлекают потенциальных сотрудников высокой культурой менеджмента, возможностью построить международную карьеру, нацеленностью на развитие своих сотрудников. Кроме того, – учат своих менеджеров грамотно управлять людьми, развивать таланты, мотивировать и настраивать на высокие результаты.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Корпорация Nestle S.A. начала свою деятельность в Украине в </w:t>
      </w:r>
      <w:smartTag w:uri="urn:schemas-microsoft-com:office:smarttags" w:element="metricconverter">
        <w:smartTagPr>
          <w:attr w:name="ProductID" w:val="1994 г"/>
        </w:smartTagPr>
        <w:r w:rsidRPr="00EC4869">
          <w:rPr>
            <w:rFonts w:ascii="Times New Roman" w:hAnsi="Times New Roman" w:cs="Times New Roman"/>
            <w:sz w:val="20"/>
            <w:szCs w:val="20"/>
            <w:lang w:val="ru-RU"/>
          </w:rPr>
          <w:t>1994 г</w:t>
        </w:r>
      </w:smartTag>
      <w:r w:rsidRPr="00EC4869">
        <w:rPr>
          <w:rFonts w:ascii="Times New Roman" w:hAnsi="Times New Roman" w:cs="Times New Roman"/>
          <w:sz w:val="20"/>
          <w:szCs w:val="20"/>
          <w:lang w:val="ru-RU"/>
        </w:rPr>
        <w:t>. с открытия представительства. В 1998 - 2003 гг. она приобрела контрольный пакет ЗАО Львовская кондитерская фабрика «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Св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іточ» и 100% акций предприятия Волыньхолдинг (ТМ «Торчин»). Последним по времени приобретением ООО Нестле Украина стало харьковское ООО «Техноком» (в феврале </w:t>
      </w:r>
      <w:smartTag w:uri="urn:schemas-microsoft-com:office:smarttags" w:element="metricconverter">
        <w:smartTagPr>
          <w:attr w:name="ProductID" w:val="2010 г"/>
        </w:smartTagPr>
        <w:r w:rsidRPr="00EC4869">
          <w:rPr>
            <w:rFonts w:ascii="Times New Roman" w:hAnsi="Times New Roman" w:cs="Times New Roman"/>
            <w:sz w:val="20"/>
            <w:szCs w:val="20"/>
            <w:lang w:val="ru-RU"/>
          </w:rPr>
          <w:t>2010 г</w:t>
        </w:r>
      </w:smartTag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.) – производитель продуктов  быстрого приготовления под ТМ «Мивина».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Консолидация в корпоративную отчетность результатов Технокома способствовала тому, что объем продаж Nestle в Украине в </w:t>
      </w:r>
      <w:smartTag w:uri="urn:schemas-microsoft-com:office:smarttags" w:element="metricconverter">
        <w:smartTagPr>
          <w:attr w:name="ProductID" w:val="2010 г"/>
        </w:smartTagPr>
        <w:r w:rsidRPr="00EC4869">
          <w:rPr>
            <w:rFonts w:ascii="Times New Roman" w:hAnsi="Times New Roman" w:cs="Times New Roman"/>
            <w:sz w:val="20"/>
            <w:szCs w:val="20"/>
            <w:lang w:val="ru-RU"/>
          </w:rPr>
          <w:t>2010 г</w:t>
        </w:r>
      </w:smartTag>
      <w:r w:rsidRPr="00EC4869">
        <w:rPr>
          <w:rFonts w:ascii="Times New Roman" w:hAnsi="Times New Roman" w:cs="Times New Roman"/>
          <w:sz w:val="20"/>
          <w:szCs w:val="20"/>
          <w:lang w:val="ru-RU"/>
        </w:rPr>
        <w:t>. составил 4,02 млрд. грн., увеличившись на 30,5%. Однако важным является то, что Nestle – не только крупнейший в мире производитель продуктов и напитков, но и компания, которая производит продукцию, соответствующую принципам правильного питания и здорового образа жизни.</w:t>
      </w:r>
      <w:proofErr w:type="gramEnd"/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Высокая репутация работодателя для компании «Сандора», входящей в состав второго в мире производителя продуктов питания и напитков – PepsiCo, является производной главного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бизнес-принципа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«ответственно к цели». Он означает, что Сандора достигает высоких результатов в бизнесе и при этом выполняет более широкие обязательства: влияет на развитие культуры здорового образа жизни, заботится о сохранении окружающей среды, поддерживает развитие талантов и карьерных возможностей своих сотрудников. Примечательно, что Pepsi (в отличие от многих глобальных игроков) сохраняет самобытность локальной Сандоры и позиционирует себя на отечественном рынке труда как украинское предприятие – многие сотрудники это ценят. Безусловно, главное для соискателя – конкурентная заработная плата и компенсационный пакет. Наряду с конкурентным компенсационным пакетом, который предлагает Сандора, у работников есть возможность изучить лучшие международные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бизнес-практики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и получить опыт применения их в работе. Для этого разрабатываются модели развития карьеры для специалистов, карьерные матрицы, действуют система обучения и развития. Подтверждением эффективности данной системы является то, что большинство руководителей выросли внутри организации.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Важно и приятно отметить, что среди лидеров-работодателей есть украинские компании: СКМ, Метинвест, Киевстар, ДТЭК, Оболонь и то, что во многих вопросах они уже на равных конкурируют с международными компаниями.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В то же время, справедливо будет заметить, что не всегда известная и успешная организация является хорошим местом для работы. Часто сильный PR перевешивает слабый HR. Далеко не во всех компаниях признают важность человеческого капитала, необходимость инвестировать в развитие сотрудников. Это касается как оплаты труда, условий работы, так и стиля управления людьми.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Ценность бренда работодателей  – в закреплении в сознании целевой аудитории правильных, с точки зрения компании, акцентов и характеристик, помогающих ей в выполнении поставленных задач. Для сотрудников надежный бренд их работодателя – свидетельство правильности выбора. Это дает возможность компании максимизировать производительность и снизить вероятность утечки кадров. Для тех, кто стремится в ней работать, - доказательство того, что за вход в организацию стоит бороться. Ей же это позволяет привлекать лучших людей, накапливать более высокие компетенции, конкурировать. Для властей это подтверждение того, что данную компанию следует поддерживать, для общества – подтверждение ее ответственности и эффективности. Можно считать, что бренд является позитивным, если есть устойчивые, автоматические, позитивные ассоциации, связанные с именем компании, а не просто ее узнаваемость.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Часто укрепиться организации как бренду помогает не только распространение информации о продукции компании, но и образовательные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бизнес-программы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, проводимые компанией для работников, – это средство не только обеспечения соответствия качества трудовых ресурсов уровню решаемых задач, но и фактор повышения стоимости на рынке труда, продвижения по службе и карьерного роста.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Интересен, с данной точки зрения, пример Индии, в которой после построения сверхуспешной IT-отрасли, сформирован новый государственный приоритет – создание инфраструктуры. Именно отсутствие качественных магистралей, мостов, железных дорог, аэропортов и портов, по мнению премьер-министра страны, является главной преградой на пути ее экономического подъема. Для решения этой проблемы нужны квалифицированные специалисты, которых, по мнению представителей местного бизнеса, катастрофически не хватает. Поэтому компании-застройщики, включая крупнейшую инженерно-строительную компанию Larsen&amp;Toubro (L&amp;T), открывают собственные подготовительные школы. Компания L&amp;T тратит около $470 на одного студента, чтобы тот за три месяца освоил плотницкое дело, сварку, кирпичную кладку или другие востребованные профессии. Согласно отчету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неправительственной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National Skill Development (Нью-Дели), в 2005г. в строительстве трудились 31,5 млн. рабочих, из которых лишь 17% имели специальное образование. Это неудивительно для страны, где уровень грамотности, согласно CIA Factbook, составляет всего 61 %. Таким образом, реализуя образовательные программы, компании оказывают положительный социальный эффект не только для себя и сотрудников, но и для страны в целом. 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Для успешности региона нужно следить за развитием собственных технологий, создавать исследовательские и учебные центры, где местные жители смогут получать опыт и навыки для работы на современных предприятиях. Некоторые регионы России, в частности стремительно развивающаяся Калужская область, успешно применяют опыт Китая по развитию отдельных регионов. В Калуге для этих целей создано и успешно функционирует образовательное пространство для обучения кадров и развития инновационных технологий. В </w:t>
      </w:r>
      <w:smartTag w:uri="urn:schemas-microsoft-com:office:smarttags" w:element="metricconverter">
        <w:smartTagPr>
          <w:attr w:name="ProductID" w:val="2007 г"/>
        </w:smartTagPr>
        <w:r w:rsidRPr="00EC4869">
          <w:rPr>
            <w:rFonts w:ascii="Times New Roman" w:hAnsi="Times New Roman" w:cs="Times New Roman"/>
            <w:sz w:val="20"/>
            <w:szCs w:val="20"/>
            <w:lang w:val="ru-RU"/>
          </w:rPr>
          <w:t>2007 г</w:t>
        </w:r>
      </w:smartTag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. был создан первый учебный центр подготовки кадров для автомобильной промышленности, а именно – производств Фольксваген Групп Рус, ПСМА Рус, Автофрамоса. За три года были обучены 4 тыс. человек по 70 программам обучения. В </w:t>
      </w:r>
      <w:smartTag w:uri="urn:schemas-microsoft-com:office:smarttags" w:element="metricconverter">
        <w:smartTagPr>
          <w:attr w:name="ProductID" w:val="2011 г"/>
        </w:smartTagPr>
        <w:r w:rsidRPr="00EC4869">
          <w:rPr>
            <w:rFonts w:ascii="Times New Roman" w:hAnsi="Times New Roman" w:cs="Times New Roman"/>
            <w:sz w:val="20"/>
            <w:szCs w:val="20"/>
            <w:lang w:val="ru-RU"/>
          </w:rPr>
          <w:t>2011 г</w:t>
        </w:r>
      </w:smartTag>
      <w:r w:rsidRPr="00EC4869">
        <w:rPr>
          <w:rFonts w:ascii="Times New Roman" w:hAnsi="Times New Roman" w:cs="Times New Roman"/>
          <w:sz w:val="20"/>
          <w:szCs w:val="20"/>
          <w:lang w:val="ru-RU"/>
        </w:rPr>
        <w:t>. начал работу учебный центр подготовки кадров для фармацевтической промышленности. Среди направлений обучения: подготовка и переподготовка взрослых без профильного образования, практическая подготовка студентов профильных факультетов колледжа, повышение квалификации специалистов с опытом работы. Основные преимущества данных программ заключаются в том, что преподавателями являются профессиональные специалисты из действующих предприятий; кадры готовятся под ключ – закончивший обучение выходит на работу по выбранному профилю; тесное сотрудничество с зарубежными учебными центрами.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Важной формой участия компаний в социальных программах является сотрудничество корпораций с местными органами власти по решению актуальных для территорий социальных проблем. Бюджетные средства, которые направляются на развитие территорий, далеко не всегда выделяются в достаточном объеме и позволяют довести решение проблем до логического завершения. Участие же частных инвесторов в программах социального партнерства позволяет им стать более эффективными.</w:t>
      </w:r>
    </w:p>
    <w:p w:rsidR="00EC4869" w:rsidRPr="00EC4869" w:rsidRDefault="00EC4869" w:rsidP="00EC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Мировые компании, такие как Volvo, Volkswagen, Nestle, L’Oreal, Samsung Electronics и др., совместно с местными органами власти осуществляют финансирование спортивных клубов (футбол, хоккей), разрабатывают и реализуют социальные программы: служба скорой помощи, психологические комнаты в детских домах, транспорт для реабилитационных центров, детские игровые площадки. Иностранные инвесторы оказывают поддержку молодым специалистам своих компаний: оплачивают съемное жилье, проценты по ипотечным кредитам, предоставляют ссуды для строительства. 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Компания «Киевстар» одной из первых в Украине интегрировала КСО в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свою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бизнес-стратегию. В мае 2006 года «Киевстар» присоедился к «Глобальному договору ООН» и ведет свой бизнес в соответствии с его базовыми принципами. В первом национальном конкурсе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бизнес-кейсов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 по КСО, который был проведен Центром развития КСО в 2009 году, «Киевстар» присуждено 1-е место  за социальную программу «Мобильная культура» [5]. Концепция КСО компании, принятая в 2009 году, направлена на гармонизацию отношений с обществом, участие компании в социальном и экономическом развитии страны. Основные направления социальной ответственности «Киевстар» </w:t>
      </w:r>
      <w:r w:rsidRPr="00EC4869">
        <w:rPr>
          <w:rFonts w:ascii="Times New Roman" w:hAnsi="Times New Roman" w:cs="Times New Roman"/>
          <w:sz w:val="20"/>
          <w:szCs w:val="20"/>
          <w:lang w:val="ru-RU"/>
        </w:rPr>
        <w:softHyphen/>
        <w:t>- это: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- ответственность за продукт – безопасность услуг мобильной связи для здоровья человека, программа защиты детей от негативного влияния мобильного Интернета, профилактика мобильного мошенничества;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- развитие персонала – инвестирование в своих сотрудников: их обучение, развитие компетенций, создание комфортной атмосферы на рабочих местах, высокий уровень зарплаты  и мотивации, социальные программы;  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- защита природы – акционные предложения абонентам по замене бумажных счетов за услуги на электронные с целью сохранения лесов и уменьшения вредных выбросов в окружающую атмосферу; 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- ответственность перед государством и обществом – честность и прозрачность в уплате налогов, благотворительные программы для ветеранов ВОВ, программа адаптации одиноких людей пожилого возраста, присуждение именных стипендий талантливым студентам, поддержка дитей-сирот в 25 подшефных детских садах по всей Украине, программы социальной адаптации инвалидов и т.д. 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lastRenderedPageBreak/>
        <w:t>Показательным является то, что высокая внешняя  оценка репутации компании подтверждается результатами ежегодного опроса ее персонала – 92% опрошенных ответили, что они порекомендовали бы «Киевстар» как хорошее место работы, а 94% гордятся тем, что работают в компании.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Компания ДТЭК с 2007 года является участником Глобального договора ООН по КСО, поддерживая и оказывая содействие в разработке Национальной Концепции развития социальной ответственности бизнеса в Украине [6]. В 2010 году компания инвестировала в социально-экономическое развитие территорий, где присутствует ее бизнес, 11,6 млн. грн. В настоящее время участниками программы социального партнерства являются 15 городов и четыре района Донецкой, Днепропетровской, Запорожской и Луганской областей. Всего же за все время существования программы инвестировано 26 млн. грн. Программа включает пять основных направлений: энергоэффективность, развитие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бизнес-среды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, медицина, образование и культура, спорт. Один из проектов стал международным – совместно с Федерацией канадских муниципалитетов ведется поиск новых путей развития территории западного Донбасса. 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Несмотря на то, что в Украине поддержка бизнесом детских домов и медицинских учреждений не является редкостью, как таковой культуры той части корпоративно социальной ответственности, которая связана с ответственностью перед обществом, в широком понимании, – пока нет. Действия бизнеса в этом направлении  довольно хаотичны и мало предсказуемы, приблизительно такая же реакция на них и со стороны  общества. В результате, мало кому из локальных игроков удается создать связь между своим брендом и понятием социально ответственного бизнеса, тогда как последнего требует все больше отечественных потребителей, клиентов и партнеров – тренд, не так давно пришедший к нам из стран еврозоны. 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Чтобы создать благоприятные условия для формирования культуры социальной ответственности перед обществом, кроме прочих экономических факторов, необходим системный подход в менеджменте компаний к этому направлению своей деятельности. Местные власти, бизнес и сами граждане должны четко понимать, что только благодаря совместному активному участию можно создать комфортные условия для жизни в Украине. </w:t>
      </w:r>
    </w:p>
    <w:p w:rsidR="00EC4869" w:rsidRPr="00EC4869" w:rsidRDefault="00EC4869" w:rsidP="00EC4869">
      <w:pPr>
        <w:tabs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b/>
          <w:sz w:val="20"/>
          <w:szCs w:val="20"/>
          <w:lang w:val="ru-RU"/>
        </w:rPr>
        <w:t>СПИСОК ЛИТЕРАТУРЫ:</w:t>
      </w:r>
    </w:p>
    <w:p w:rsidR="00EC4869" w:rsidRPr="00EC4869" w:rsidRDefault="00EC4869" w:rsidP="00EC48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Корпоративна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соц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іальна відповідальність: підручник / кол. авт.; за заг. ред. д-ра екон. наук, проф. Т.С. Смовженко, д-ра екон. наук, проф. А.Я. Кузнєцової. – Вид. друге, випр. і доповн. – К.: УБС НБУ, 2010. – 314 с.</w:t>
      </w:r>
    </w:p>
    <w:p w:rsidR="00EC4869" w:rsidRPr="00EC4869" w:rsidRDefault="00EC4869" w:rsidP="00EC48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Орєхова Т.В., Біркентале В.В. Диференціація інструментів політики корпоративної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соц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іальної відповідальності компаній у країнах чорноморського басейну / Проблемы и перспективы развития сотрудничества между странами Южно-Восточной Европы в рамках Черноморского экономического сотрудничества и ГУАМ. – Сборник научных трудов. – Одесса–Севастополь–Донецк: ДонНУ, РФ НИСИ в г. Донецке,  2011. – С. 559-565.</w:t>
      </w:r>
    </w:p>
    <w:p w:rsidR="00EC4869" w:rsidRPr="00EC4869" w:rsidRDefault="00EC4869" w:rsidP="00EC48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Соц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іальна безпека: теорія та українська практика: Монографія / І.Ф. Гнибіденко, А.М. Колот, О.Ф. Новікова та ін.; за ред. І.Ф. Гнибіденка, А.М. Колота, В.В.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Рогового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. – К.: КНЕУ, 2006. – 292 с.</w:t>
      </w:r>
    </w:p>
    <w:p w:rsidR="00EC4869" w:rsidRPr="00EC4869" w:rsidRDefault="00EC4869" w:rsidP="00EC48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Самые уважаемые работодатели Украины 2010 (по версии Reputation Capital &amp; HeadHunter) // Комп&amp;ньон, № 3-4 (726-727), 2011, С.24.</w:t>
      </w:r>
    </w:p>
    <w:p w:rsidR="00EC4869" w:rsidRPr="00EC4869" w:rsidRDefault="00EC4869" w:rsidP="00EC48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Київстар: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ічний звіт-2009.</w:t>
      </w:r>
    </w:p>
    <w:p w:rsidR="00EC4869" w:rsidRPr="00EC4869" w:rsidRDefault="00EC4869" w:rsidP="00EC486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ДТЭК: Отчет о деятельности в области устойчивого развития за 2008-2009 гг.</w:t>
      </w:r>
    </w:p>
    <w:p w:rsidR="00EC4869" w:rsidRPr="00EC4869" w:rsidRDefault="00EC4869" w:rsidP="00EC486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Резюме: Головною метою даної статті є визначення ролі корпоративної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соц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іальної відповідальності компаній у реалізації цілей менеджменту організацій.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 xml:space="preserve">Ключові слова: корпоративна </w:t>
      </w:r>
      <w:proofErr w:type="gramStart"/>
      <w:r w:rsidRPr="00EC4869">
        <w:rPr>
          <w:rFonts w:ascii="Times New Roman" w:hAnsi="Times New Roman" w:cs="Times New Roman"/>
          <w:sz w:val="20"/>
          <w:szCs w:val="20"/>
          <w:lang w:val="ru-RU"/>
        </w:rPr>
        <w:t>соц</w:t>
      </w:r>
      <w:proofErr w:type="gramEnd"/>
      <w:r w:rsidRPr="00EC4869">
        <w:rPr>
          <w:rFonts w:ascii="Times New Roman" w:hAnsi="Times New Roman" w:cs="Times New Roman"/>
          <w:sz w:val="20"/>
          <w:szCs w:val="20"/>
          <w:lang w:val="ru-RU"/>
        </w:rPr>
        <w:t>іальна відповідальність, репутація, персонал, менеджмент організацій, соціальні програми.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Резюме: Главной целью данной статьи является определение роли корпоративной социальной ответственности компаний в реализации целей менеджмента организаций.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Fonts w:ascii="Times New Roman" w:hAnsi="Times New Roman" w:cs="Times New Roman"/>
          <w:sz w:val="20"/>
          <w:szCs w:val="20"/>
          <w:lang w:val="ru-RU"/>
        </w:rPr>
        <w:t>Ключевые слова: корпоративная социальная ответственность, репутация, персонал,  менеджмент организаций, социальные программы.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</w:pPr>
      <w:r w:rsidRPr="00EC486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Summary</w:t>
      </w:r>
      <w:r w:rsidRPr="00EC4869">
        <w:rPr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: The main purpose</w:t>
      </w:r>
      <w:r w:rsidRPr="00EC486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of this paperis to definethe corporatesocial responsibility roleinachieving the enterprise management objectives</w:t>
      </w:r>
      <w:r w:rsidRPr="00EC4869">
        <w:rPr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.</w:t>
      </w:r>
    </w:p>
    <w:p w:rsidR="00EC4869" w:rsidRPr="00EC4869" w:rsidRDefault="00EC4869" w:rsidP="00EC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486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Keywords</w:t>
      </w:r>
      <w:r w:rsidRPr="00EC4869">
        <w:rPr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: corporate social</w:t>
      </w:r>
      <w:r w:rsidRPr="00EC486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responsibility</w:t>
      </w:r>
      <w:r w:rsidRPr="00EC4869">
        <w:rPr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, credibility, personnel,</w:t>
      </w:r>
      <w:r w:rsidRPr="00EC486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enterprise management,social programs</w:t>
      </w:r>
      <w:r w:rsidRPr="00EC4869">
        <w:rPr>
          <w:rFonts w:ascii="Times New Roman" w:hAnsi="Times New Roman" w:cs="Times New Roman"/>
          <w:sz w:val="20"/>
          <w:szCs w:val="20"/>
          <w:shd w:val="clear" w:color="auto" w:fill="F5F5F5"/>
          <w:lang w:val="ru-RU"/>
        </w:rPr>
        <w:t>.</w:t>
      </w:r>
    </w:p>
    <w:p w:rsidR="00EC4869" w:rsidRPr="00EC4869" w:rsidRDefault="00EC4869" w:rsidP="00EC486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EC4869" w:rsidRPr="00EC4869" w:rsidSect="000B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07AE"/>
    <w:multiLevelType w:val="hybridMultilevel"/>
    <w:tmpl w:val="86644CB6"/>
    <w:lvl w:ilvl="0" w:tplc="9822ED66">
      <w:start w:val="75"/>
      <w:numFmt w:val="bullet"/>
      <w:lvlText w:val="-"/>
      <w:lvlJc w:val="left"/>
      <w:pPr>
        <w:tabs>
          <w:tab w:val="num" w:pos="2374"/>
        </w:tabs>
        <w:ind w:left="237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A41EB3"/>
    <w:multiLevelType w:val="hybridMultilevel"/>
    <w:tmpl w:val="18C2413E"/>
    <w:lvl w:ilvl="0" w:tplc="E3B074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9AF22EA"/>
    <w:multiLevelType w:val="hybridMultilevel"/>
    <w:tmpl w:val="AEE40186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904A2"/>
    <w:multiLevelType w:val="hybridMultilevel"/>
    <w:tmpl w:val="B1BE3388"/>
    <w:lvl w:ilvl="0" w:tplc="9822ED66">
      <w:start w:val="75"/>
      <w:numFmt w:val="bullet"/>
      <w:lvlText w:val="-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A6367"/>
    <w:rsid w:val="000B0108"/>
    <w:rsid w:val="001A6367"/>
    <w:rsid w:val="002E3209"/>
    <w:rsid w:val="00442272"/>
    <w:rsid w:val="006A1D7B"/>
    <w:rsid w:val="006A63CD"/>
    <w:rsid w:val="00BD074D"/>
    <w:rsid w:val="00E20A63"/>
    <w:rsid w:val="00EC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C4869"/>
  </w:style>
  <w:style w:type="character" w:customStyle="1" w:styleId="apple-converted-space">
    <w:name w:val="apple-converted-space"/>
    <w:basedOn w:val="a0"/>
    <w:rsid w:val="00EC4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C4869"/>
  </w:style>
  <w:style w:type="character" w:customStyle="1" w:styleId="apple-converted-space">
    <w:name w:val="apple-converted-space"/>
    <w:basedOn w:val="a0"/>
    <w:rsid w:val="00EC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3517</Words>
  <Characters>20048</Characters>
  <Application>Microsoft Office Word</Application>
  <DocSecurity>0</DocSecurity>
  <Lines>167</Lines>
  <Paragraphs>47</Paragraphs>
  <ScaleCrop>false</ScaleCrop>
  <Company/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2</cp:revision>
  <dcterms:created xsi:type="dcterms:W3CDTF">2013-05-14T06:49:00Z</dcterms:created>
  <dcterms:modified xsi:type="dcterms:W3CDTF">2013-05-14T06:49:00Z</dcterms:modified>
</cp:coreProperties>
</file>