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2D" w:rsidRPr="00E510D6" w:rsidRDefault="006F612D" w:rsidP="006F612D">
      <w:pPr>
        <w:spacing w:line="360" w:lineRule="auto"/>
        <w:ind w:firstLine="709"/>
        <w:jc w:val="center"/>
        <w:rPr>
          <w:lang w:val="uk-UA"/>
        </w:rPr>
      </w:pPr>
      <w:r w:rsidRPr="00E510D6">
        <w:rPr>
          <w:lang w:val="uk-UA"/>
        </w:rPr>
        <w:t xml:space="preserve">ІНТЕГРАЛЬНА ОЦІНКА РИЗИКУ ДІЯЛЬНОСТІ ПІДПРИЄМСТВА </w:t>
      </w:r>
    </w:p>
    <w:p w:rsidR="006F612D" w:rsidRPr="00E510D6" w:rsidRDefault="006F612D" w:rsidP="006F612D">
      <w:pPr>
        <w:spacing w:line="360" w:lineRule="auto"/>
        <w:ind w:firstLine="709"/>
        <w:jc w:val="right"/>
        <w:rPr>
          <w:lang w:val="uk-UA"/>
        </w:rPr>
      </w:pPr>
    </w:p>
    <w:p w:rsidR="006F612D" w:rsidRPr="00E510D6" w:rsidRDefault="006F612D" w:rsidP="006F612D">
      <w:pPr>
        <w:spacing w:line="360" w:lineRule="auto"/>
        <w:ind w:firstLine="709"/>
        <w:jc w:val="right"/>
        <w:rPr>
          <w:lang w:val="uk-UA"/>
        </w:rPr>
      </w:pPr>
      <w:r w:rsidRPr="00E510D6">
        <w:rPr>
          <w:lang w:val="uk-UA"/>
        </w:rPr>
        <w:t>Бєляєва О. В.</w:t>
      </w:r>
    </w:p>
    <w:p w:rsidR="006F612D" w:rsidRPr="00E510D6" w:rsidRDefault="006F612D" w:rsidP="006F612D">
      <w:pPr>
        <w:spacing w:line="360" w:lineRule="auto"/>
        <w:ind w:firstLine="709"/>
        <w:jc w:val="right"/>
        <w:rPr>
          <w:lang w:val="uk-UA"/>
        </w:rPr>
      </w:pPr>
      <w:r w:rsidRPr="00E510D6">
        <w:rPr>
          <w:lang w:val="uk-UA"/>
        </w:rPr>
        <w:t xml:space="preserve">Науковий керівник </w:t>
      </w:r>
      <w:proofErr w:type="spellStart"/>
      <w:r w:rsidRPr="00E510D6">
        <w:rPr>
          <w:lang w:val="uk-UA"/>
        </w:rPr>
        <w:t>к.е.н</w:t>
      </w:r>
      <w:proofErr w:type="spellEnd"/>
      <w:r w:rsidRPr="00E510D6">
        <w:rPr>
          <w:lang w:val="uk-UA"/>
        </w:rPr>
        <w:t>, доц. Слєпньова Л. Д.</w:t>
      </w:r>
    </w:p>
    <w:p w:rsidR="006F612D" w:rsidRPr="00E510D6" w:rsidRDefault="006F612D" w:rsidP="006F612D">
      <w:pPr>
        <w:spacing w:line="360" w:lineRule="auto"/>
        <w:ind w:firstLine="709"/>
        <w:jc w:val="right"/>
      </w:pPr>
      <w:r w:rsidRPr="00E510D6">
        <w:t xml:space="preserve">ДВНЗ </w:t>
      </w:r>
      <w:proofErr w:type="spellStart"/>
      <w:r w:rsidRPr="00E510D6">
        <w:t>Донецький</w:t>
      </w:r>
      <w:proofErr w:type="spellEnd"/>
      <w:r w:rsidRPr="00E510D6">
        <w:t xml:space="preserve"> </w:t>
      </w:r>
      <w:proofErr w:type="spellStart"/>
      <w:r w:rsidRPr="00E510D6">
        <w:t>національний</w:t>
      </w:r>
      <w:proofErr w:type="spellEnd"/>
      <w:r w:rsidRPr="00E510D6">
        <w:t xml:space="preserve"> </w:t>
      </w:r>
      <w:proofErr w:type="spellStart"/>
      <w:proofErr w:type="gramStart"/>
      <w:r w:rsidRPr="00E510D6">
        <w:t>техн</w:t>
      </w:r>
      <w:proofErr w:type="gramEnd"/>
      <w:r w:rsidRPr="00E510D6">
        <w:t>ічний</w:t>
      </w:r>
      <w:proofErr w:type="spellEnd"/>
      <w:r w:rsidRPr="00E510D6">
        <w:t xml:space="preserve"> </w:t>
      </w:r>
      <w:proofErr w:type="spellStart"/>
      <w:r w:rsidRPr="00E510D6">
        <w:t>університет</w:t>
      </w:r>
      <w:proofErr w:type="spellEnd"/>
    </w:p>
    <w:p w:rsidR="006F612D" w:rsidRPr="00E510D6" w:rsidRDefault="006F612D" w:rsidP="006F612D">
      <w:pPr>
        <w:spacing w:line="360" w:lineRule="auto"/>
        <w:ind w:firstLine="709"/>
        <w:jc w:val="center"/>
      </w:pP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Нестабільність економічної ситуації в сучасній Україні, світова фінансово-економічна криза, складність та недосконалість податкової системи та законодавства негативно впливають на фінансово-господарське становище підприємств усіх галузей народного господарства та сприяють появі фактора ризику у їхній діяльності.</w:t>
      </w:r>
    </w:p>
    <w:p w:rsidR="006F612D" w:rsidRPr="00E510D6" w:rsidRDefault="006F612D" w:rsidP="006F612D">
      <w:pPr>
        <w:pStyle w:val="Style1"/>
        <w:widowControl/>
        <w:spacing w:before="46" w:line="360" w:lineRule="auto"/>
        <w:ind w:firstLine="709"/>
        <w:rPr>
          <w:rFonts w:ascii="Times New Roman" w:hAnsi="Times New Roman" w:cs="Times New Roman"/>
          <w:lang w:val="uk-UA"/>
        </w:rPr>
      </w:pPr>
      <w:r w:rsidRPr="00E510D6">
        <w:rPr>
          <w:rFonts w:ascii="Times New Roman" w:hAnsi="Times New Roman" w:cs="Times New Roman"/>
          <w:lang w:val="uk-UA"/>
        </w:rPr>
        <w:t>Ризик діяль</w:t>
      </w:r>
      <w:r>
        <w:rPr>
          <w:rFonts w:ascii="Times New Roman" w:hAnsi="Times New Roman" w:cs="Times New Roman"/>
          <w:lang w:val="uk-UA"/>
        </w:rPr>
        <w:t>н</w:t>
      </w:r>
      <w:r w:rsidRPr="00E510D6">
        <w:rPr>
          <w:rFonts w:ascii="Times New Roman" w:hAnsi="Times New Roman" w:cs="Times New Roman"/>
          <w:lang w:val="uk-UA"/>
        </w:rPr>
        <w:t xml:space="preserve">ості підприємства – це явище, що виникає на підприємстві і характеризується рівнем можливої загрози для виробництва і реалізації продукції, наслідком якого є неодержання або недоодержання прибутку </w:t>
      </w:r>
      <w:r w:rsidRPr="00E510D6">
        <w:rPr>
          <w:rFonts w:ascii="Times New Roman" w:hAnsi="Times New Roman" w:cs="Times New Roman"/>
          <w:snapToGrid w:val="0"/>
          <w:lang w:val="uk-UA"/>
        </w:rPr>
        <w:t>[1].</w:t>
      </w:r>
      <w:r w:rsidRPr="00E510D6">
        <w:rPr>
          <w:rFonts w:ascii="Times New Roman" w:hAnsi="Times New Roman" w:cs="Times New Roman"/>
          <w:lang w:val="uk-UA"/>
        </w:rPr>
        <w:t xml:space="preserve"> </w:t>
      </w:r>
    </w:p>
    <w:p w:rsidR="006F612D" w:rsidRPr="00E510D6" w:rsidRDefault="006F612D" w:rsidP="006F612D">
      <w:pPr>
        <w:pStyle w:val="Style1"/>
        <w:widowControl/>
        <w:spacing w:before="46" w:line="360" w:lineRule="auto"/>
        <w:ind w:firstLine="709"/>
        <w:rPr>
          <w:rFonts w:ascii="Times New Roman" w:hAnsi="Times New Roman" w:cs="Times New Roman"/>
          <w:lang w:val="uk-UA"/>
        </w:rPr>
      </w:pPr>
      <w:r w:rsidRPr="00E510D6">
        <w:rPr>
          <w:rStyle w:val="FontStyle11"/>
          <w:sz w:val="24"/>
          <w:szCs w:val="24"/>
          <w:lang w:val="uk-UA"/>
        </w:rPr>
        <w:t xml:space="preserve">Ризиком можна керувати, тобто використовувати різні міри, що дозволяють деякою мірою прогнозувати настання ризикової події й вживати заходів до зниження ступеня ризику </w:t>
      </w:r>
      <w:r w:rsidRPr="00E510D6">
        <w:rPr>
          <w:rFonts w:ascii="Times New Roman" w:hAnsi="Times New Roman" w:cs="Times New Roman"/>
          <w:snapToGrid w:val="0"/>
          <w:lang w:val="uk-UA"/>
        </w:rPr>
        <w:t>[2]</w:t>
      </w:r>
      <w:r w:rsidRPr="00E510D6">
        <w:rPr>
          <w:rStyle w:val="FontStyle11"/>
          <w:sz w:val="24"/>
          <w:szCs w:val="24"/>
          <w:lang w:val="uk-UA"/>
        </w:rPr>
        <w:t>. Ключовим етапом у процесі керування ризиковою ситуацією є оцінка ступеню ризику, тобто ступеню загрози стабільності підприємства.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Такий стан речей спонукає підприємства до пошуків оптимальних методів оцінки ризику діяльності серед безлічі представлених у науково-економічній літературі (статистичні методи, теорія </w:t>
      </w:r>
      <w:proofErr w:type="spellStart"/>
      <w:r w:rsidRPr="00E510D6">
        <w:rPr>
          <w:lang w:val="uk-UA"/>
        </w:rPr>
        <w:t>ігр</w:t>
      </w:r>
      <w:proofErr w:type="spellEnd"/>
      <w:r w:rsidRPr="00E510D6">
        <w:rPr>
          <w:lang w:val="uk-UA"/>
        </w:rPr>
        <w:t xml:space="preserve"> та </w:t>
      </w:r>
      <w:proofErr w:type="spellStart"/>
      <w:r w:rsidRPr="00E510D6">
        <w:rPr>
          <w:lang w:val="uk-UA"/>
        </w:rPr>
        <w:t>інш</w:t>
      </w:r>
      <w:proofErr w:type="spellEnd"/>
      <w:r w:rsidRPr="00E510D6">
        <w:rPr>
          <w:lang w:val="uk-UA"/>
        </w:rPr>
        <w:t>.). Основне завдання методики оцінки ризику діяльності підприємства, що пропонує</w:t>
      </w:r>
      <w:r>
        <w:rPr>
          <w:lang w:val="uk-UA"/>
        </w:rPr>
        <w:t>ться</w:t>
      </w:r>
      <w:r w:rsidRPr="00CC236C">
        <w:rPr>
          <w:lang w:val="uk-UA"/>
        </w:rPr>
        <w:t xml:space="preserve"> </w:t>
      </w:r>
      <w:r>
        <w:rPr>
          <w:lang w:val="uk-UA"/>
        </w:rPr>
        <w:t xml:space="preserve">у </w:t>
      </w:r>
      <w:r w:rsidRPr="00043B38">
        <w:rPr>
          <w:lang w:val="uk-UA"/>
        </w:rPr>
        <w:t>[1]</w:t>
      </w:r>
      <w:r w:rsidRPr="00E510D6">
        <w:rPr>
          <w:lang w:val="uk-UA"/>
        </w:rPr>
        <w:t>, за умов використання фінансово-економічного стану як критерію оцінки ризику, - одержати інтегральний показник ризику діяльності підприємства з розподілом його за зонами ризику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Подібний методичний підхід до аналізу фінансово-економічного стану підприємства  як до критерію оцінки ризику діяльності підприємства, де фінансово-економічний стан  підприємства розглядається як комплексне поняття, було представлено у роботі М. Г. </w:t>
      </w:r>
      <w:proofErr w:type="spellStart"/>
      <w:r w:rsidRPr="00E510D6">
        <w:rPr>
          <w:lang w:val="uk-UA"/>
        </w:rPr>
        <w:t>Лапусти</w:t>
      </w:r>
      <w:proofErr w:type="spellEnd"/>
      <w:r w:rsidRPr="00E510D6">
        <w:rPr>
          <w:lang w:val="uk-UA"/>
        </w:rPr>
        <w:t xml:space="preserve"> і Л. Г. </w:t>
      </w:r>
      <w:proofErr w:type="spellStart"/>
      <w:r w:rsidRPr="00E510D6">
        <w:rPr>
          <w:lang w:val="uk-UA"/>
        </w:rPr>
        <w:t>Шаршукової</w:t>
      </w:r>
      <w:proofErr w:type="spellEnd"/>
      <w:r w:rsidRPr="00E510D6">
        <w:rPr>
          <w:lang w:val="uk-UA"/>
        </w:rPr>
        <w:t xml:space="preserve"> </w:t>
      </w:r>
      <w:r w:rsidRPr="00E510D6">
        <w:rPr>
          <w:snapToGrid w:val="0"/>
          <w:lang w:val="uk-UA"/>
        </w:rPr>
        <w:t>[3]</w:t>
      </w:r>
      <w:r w:rsidRPr="00E510D6">
        <w:rPr>
          <w:rStyle w:val="FontStyle11"/>
          <w:sz w:val="24"/>
          <w:szCs w:val="24"/>
          <w:lang w:val="uk-UA"/>
        </w:rPr>
        <w:t xml:space="preserve">. </w:t>
      </w:r>
      <w:r w:rsidRPr="00E510D6">
        <w:rPr>
          <w:lang w:val="uk-UA"/>
        </w:rPr>
        <w:t xml:space="preserve"> Загальний опис оцінки інтегрального показника ризику запропоновано в роботі Є. С. </w:t>
      </w:r>
      <w:proofErr w:type="spellStart"/>
      <w:r w:rsidRPr="00E510D6">
        <w:rPr>
          <w:lang w:val="uk-UA"/>
        </w:rPr>
        <w:t>Стоянової</w:t>
      </w:r>
      <w:proofErr w:type="spellEnd"/>
      <w:r w:rsidRPr="00E510D6">
        <w:rPr>
          <w:lang w:val="uk-UA"/>
        </w:rPr>
        <w:t xml:space="preserve"> </w:t>
      </w:r>
      <w:r w:rsidRPr="00E510D6">
        <w:rPr>
          <w:snapToGrid w:val="0"/>
          <w:lang w:val="uk-UA"/>
        </w:rPr>
        <w:t>[4]</w:t>
      </w:r>
      <w:r w:rsidRPr="00E510D6">
        <w:rPr>
          <w:rStyle w:val="FontStyle11"/>
          <w:sz w:val="24"/>
          <w:szCs w:val="24"/>
          <w:lang w:val="uk-UA"/>
        </w:rPr>
        <w:t xml:space="preserve">. </w:t>
      </w:r>
    </w:p>
    <w:p w:rsidR="006F612D" w:rsidRPr="00625327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От</w:t>
      </w:r>
      <w:r w:rsidRPr="00E510D6">
        <w:rPr>
          <w:lang w:val="uk-UA"/>
        </w:rPr>
        <w:t xml:space="preserve">же, головною метою статті є розкриття сутності та застосування на практиці інтегрального методу оцінки ризику діяльності підприємства (викладений у </w:t>
      </w:r>
      <w:r>
        <w:rPr>
          <w:snapToGrid w:val="0"/>
          <w:lang w:val="uk-UA"/>
        </w:rPr>
        <w:t>[</w:t>
      </w:r>
      <w:r w:rsidRPr="00AD5BC0">
        <w:rPr>
          <w:snapToGrid w:val="0"/>
          <w:lang w:val="uk-UA"/>
        </w:rPr>
        <w:t>1</w:t>
      </w:r>
      <w:r w:rsidRPr="00E510D6">
        <w:rPr>
          <w:snapToGrid w:val="0"/>
          <w:lang w:val="uk-UA"/>
        </w:rPr>
        <w:t>]</w:t>
      </w:r>
      <w:r w:rsidRPr="00E510D6">
        <w:rPr>
          <w:rStyle w:val="FontStyle11"/>
          <w:sz w:val="24"/>
          <w:szCs w:val="24"/>
          <w:lang w:val="uk-UA"/>
        </w:rPr>
        <w:t xml:space="preserve"> </w:t>
      </w:r>
      <w:r w:rsidRPr="00625327">
        <w:rPr>
          <w:rStyle w:val="FontStyle11"/>
          <w:sz w:val="24"/>
          <w:szCs w:val="24"/>
          <w:lang w:val="uk-UA"/>
        </w:rPr>
        <w:t>)</w:t>
      </w:r>
      <w:r w:rsidRPr="00E510D6">
        <w:rPr>
          <w:lang w:val="uk-UA"/>
        </w:rPr>
        <w:t xml:space="preserve"> на прикладі 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>» на основі фінансової звітності товариства задля визначе</w:t>
      </w:r>
      <w:r>
        <w:rPr>
          <w:lang w:val="uk-UA"/>
        </w:rPr>
        <w:t>н</w:t>
      </w:r>
      <w:r w:rsidRPr="00E510D6">
        <w:rPr>
          <w:lang w:val="uk-UA"/>
        </w:rPr>
        <w:t>ня його фінансово-економічного стану й виробітки пропозицій щодо покращення існуючого становища.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 Сутність запропонованої методики полягає у розрахунку фінансово-економічних показників діяльності підприємства: показників майнового стану, ліквідності, фінансової </w:t>
      </w:r>
      <w:r w:rsidRPr="00E510D6">
        <w:rPr>
          <w:lang w:val="uk-UA"/>
        </w:rPr>
        <w:lastRenderedPageBreak/>
        <w:t xml:space="preserve">стійкості (платоспроможності), ділової активності, рентабельності; порівнянні їх з нормативними значеннями, запропонованими у науково-економічній літературі, присвоєння бальних значень розрахованим коефіцієнтам (табл. 1); розрахунку  </w:t>
      </w:r>
      <w:proofErr w:type="spellStart"/>
      <w:r w:rsidRPr="00E510D6">
        <w:rPr>
          <w:lang w:val="uk-UA"/>
        </w:rPr>
        <w:t>внутрішньогрупових</w:t>
      </w:r>
      <w:proofErr w:type="spellEnd"/>
      <w:r w:rsidRPr="00E510D6">
        <w:rPr>
          <w:lang w:val="uk-UA"/>
        </w:rPr>
        <w:t xml:space="preserve"> бальних значень коефіцієнтів фінансово-економічного стану (табл. 2); розрахунку  інтегрального показника ризику діяльності товариства (табл. 3).</w:t>
      </w:r>
    </w:p>
    <w:p w:rsidR="006F612D" w:rsidRPr="00E510D6" w:rsidRDefault="006F612D" w:rsidP="006F612D">
      <w:pPr>
        <w:spacing w:line="360" w:lineRule="auto"/>
        <w:ind w:firstLine="540"/>
        <w:jc w:val="both"/>
        <w:rPr>
          <w:lang w:val="uk-UA"/>
        </w:rPr>
      </w:pPr>
      <w:r w:rsidRPr="00E510D6">
        <w:rPr>
          <w:lang w:val="uk-UA"/>
        </w:rPr>
        <w:t>Коефіцієнти для здійснення дослідження за групами показників розраховуються відповідно до кодів рядків Балансу й Звіту про фінансові результати (форми №1 і №2). Наприклад, коефіцієнт зносу основних засобів розраховується як відношення значення рядка 032 ф.1 до значення рядка 031 ф.2; коефіцієнт поточної ліквідності – як результат від ділення значення рядка 260 ф.1 на значення рядка 620 ф.1; коефіцієнт платоспроможності розраховується як відношення значення рядка 380 до значення рядка 640 ф.1 і так далі.</w:t>
      </w: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Розрахункові значення коефіцієнтів самі по собі практично неінформативні. Певні висновки можна зробити лише за умови проведення їх просторово-часового аналізу шляхом зіставлення розрахункових величин з еталонними (нормативними) значеннями</w:t>
      </w:r>
      <w:r>
        <w:rPr>
          <w:lang w:val="uk-UA"/>
        </w:rPr>
        <w:t>. Наприклад,  якщо значення коефіцієнту зносу основних засобів менше за 0,5, то це означає зменшення показника і так далі [</w:t>
      </w:r>
      <w:r w:rsidRPr="00AD5BC0">
        <w:t>3</w:t>
      </w:r>
      <w:r w:rsidRPr="00E510D6">
        <w:rPr>
          <w:lang w:val="uk-UA"/>
        </w:rPr>
        <w:t>].</w:t>
      </w: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Присвоєння бала отриманому номінальному значенню коефіцієнта пропонується здійснюється, виходячи з відповідності (або невідповідності) отриманого значення коефіцієнта нормативному та його зміни в динаміці:</w:t>
      </w:r>
    </w:p>
    <w:p w:rsidR="006F612D" w:rsidRDefault="006F612D" w:rsidP="006F612D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0 балів – значення коефіцієнта у звітному періоді не є нормативним, а в порівнянні з попереднім періодом стало ще гірше;</w:t>
      </w:r>
    </w:p>
    <w:p w:rsidR="006F612D" w:rsidRDefault="006F612D" w:rsidP="006F612D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1 балів -  значення коефіцієнта у звітному періоді не є нормативним (або є резерв до його поліпшення, або тенденція на погіршення діяльності підприємства не є закріпленою в динаміці);</w:t>
      </w:r>
    </w:p>
    <w:p w:rsidR="006F612D" w:rsidRDefault="006F612D" w:rsidP="006F612D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2 бали - значення коефіцієнта у звітному періоді є нормативне (або є резерв до його поліпшення, або тенденція на погіршення діяльності підприємства не є закріпленою в динаміці);</w:t>
      </w:r>
    </w:p>
    <w:p w:rsidR="006F612D" w:rsidRDefault="006F612D" w:rsidP="006F612D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 xml:space="preserve">3 бали – значення коефіцієнта у звітному періоді нормативне та в порівнянні з попереднім періодом зросло в кращій бік </w:t>
      </w:r>
      <w:r w:rsidRPr="00C90DDF">
        <w:t>[1]</w:t>
      </w:r>
      <w:r>
        <w:rPr>
          <w:lang w:val="uk-UA"/>
        </w:rPr>
        <w:t>.</w:t>
      </w:r>
    </w:p>
    <w:p w:rsidR="006F612D" w:rsidRPr="00C90DDF" w:rsidRDefault="006F612D" w:rsidP="006F612D">
      <w:pPr>
        <w:spacing w:line="360" w:lineRule="auto"/>
        <w:ind w:firstLine="540"/>
        <w:jc w:val="both"/>
      </w:pPr>
      <w:proofErr w:type="spellStart"/>
      <w:r w:rsidRPr="00C90DDF">
        <w:t>Внутрішньогруповий</w:t>
      </w:r>
      <w:proofErr w:type="spellEnd"/>
      <w:r w:rsidRPr="00C90DDF">
        <w:t xml:space="preserve"> бал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СВгБ</w:t>
      </w:r>
      <w:proofErr w:type="spellEnd"/>
      <w:r>
        <w:rPr>
          <w:lang w:val="uk-UA"/>
        </w:rPr>
        <w:t>)</w:t>
      </w:r>
      <w:r>
        <w:t xml:space="preserve"> за кожною</w:t>
      </w:r>
      <w:r>
        <w:rPr>
          <w:lang w:val="uk-UA"/>
        </w:rPr>
        <w:t xml:space="preserve"> з г</w:t>
      </w:r>
      <w:proofErr w:type="spellStart"/>
      <w:r>
        <w:t>руп</w:t>
      </w:r>
      <w:proofErr w:type="spellEnd"/>
      <w:r w:rsidRPr="00C90DDF">
        <w:t xml:space="preserve"> </w:t>
      </w:r>
      <w:proofErr w:type="spellStart"/>
      <w:r w:rsidRPr="00C90DDF">
        <w:t>показникі</w:t>
      </w:r>
      <w:proofErr w:type="gramStart"/>
      <w:r w:rsidRPr="00C90DDF">
        <w:t>в</w:t>
      </w:r>
      <w:proofErr w:type="spellEnd"/>
      <w:proofErr w:type="gramEnd"/>
      <w:r w:rsidRPr="00C90DDF">
        <w:t xml:space="preserve"> за такою формулою:</w:t>
      </w:r>
    </w:p>
    <w:p w:rsidR="006F612D" w:rsidRDefault="006F612D" w:rsidP="006F612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Pr="00C90DDF">
        <w:rPr>
          <w:position w:val="-24"/>
          <w:lang w:val="uk-UA"/>
        </w:rPr>
        <w:object w:dxaOrig="15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47.8pt" o:ole="">
            <v:imagedata r:id="rId6" o:title=""/>
          </v:shape>
          <o:OLEObject Type="Embed" ProgID="Equation.3" ShapeID="_x0000_i1025" DrawAspect="Content" ObjectID="_1428525514" r:id="rId7"/>
        </w:object>
      </w:r>
      <w:r>
        <w:rPr>
          <w:lang w:val="uk-UA"/>
        </w:rPr>
        <w:t>,                                                           (1)</w:t>
      </w:r>
    </w:p>
    <w:p w:rsidR="006F612D" w:rsidRDefault="006F612D" w:rsidP="006F612D">
      <w:pPr>
        <w:spacing w:line="360" w:lineRule="auto"/>
        <w:ind w:left="720"/>
        <w:jc w:val="both"/>
        <w:rPr>
          <w:lang w:val="uk-UA"/>
        </w:rPr>
      </w:pPr>
      <w:proofErr w:type="spellStart"/>
      <w:r>
        <w:rPr>
          <w:lang w:val="uk-UA"/>
        </w:rPr>
        <w:t>СВгБ</w:t>
      </w:r>
      <w:proofErr w:type="spellEnd"/>
      <w:r>
        <w:rPr>
          <w:lang w:val="uk-UA"/>
        </w:rPr>
        <w:t xml:space="preserve"> – середній внутрішньо груповий бал групи показників;</w:t>
      </w:r>
    </w:p>
    <w:p w:rsidR="006F612D" w:rsidRDefault="006F612D" w:rsidP="006F612D">
      <w:pPr>
        <w:spacing w:line="360" w:lineRule="auto"/>
        <w:ind w:left="720"/>
        <w:jc w:val="both"/>
        <w:rPr>
          <w:lang w:val="uk-UA"/>
        </w:rPr>
      </w:pPr>
      <w:proofErr w:type="spellStart"/>
      <w:r>
        <w:rPr>
          <w:lang w:val="uk-UA"/>
        </w:rPr>
        <w:t>БЗ</w:t>
      </w:r>
      <w:r w:rsidRPr="00685575">
        <w:rPr>
          <w:vertAlign w:val="subscript"/>
          <w:lang w:val="uk-UA"/>
        </w:rPr>
        <w:t>і</w:t>
      </w:r>
      <w:proofErr w:type="spellEnd"/>
      <w:r w:rsidRPr="00685575">
        <w:rPr>
          <w:vertAlign w:val="subscript"/>
          <w:lang w:val="uk-UA"/>
        </w:rPr>
        <w:t xml:space="preserve"> </w:t>
      </w:r>
      <w:r>
        <w:rPr>
          <w:lang w:val="uk-UA"/>
        </w:rPr>
        <w:t>– бальне значення і-того коефіцієнта в межах групи;</w:t>
      </w:r>
    </w:p>
    <w:p w:rsidR="006F612D" w:rsidRDefault="006F612D" w:rsidP="006F612D">
      <w:pPr>
        <w:spacing w:line="360" w:lineRule="auto"/>
        <w:ind w:left="720"/>
        <w:jc w:val="both"/>
        <w:rPr>
          <w:lang w:val="uk-UA"/>
        </w:rPr>
      </w:pPr>
      <w:r>
        <w:lastRenderedPageBreak/>
        <w:t xml:space="preserve">n – </w:t>
      </w:r>
      <w:r>
        <w:rPr>
          <w:lang w:val="uk-UA"/>
        </w:rPr>
        <w:t xml:space="preserve">кількість коефіцієнтів у групі. </w:t>
      </w:r>
    </w:p>
    <w:p w:rsidR="006F612D" w:rsidRDefault="006F612D" w:rsidP="006F612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Розрахунки в</w:t>
      </w:r>
      <w:proofErr w:type="spellStart"/>
      <w:r w:rsidRPr="00C90DDF">
        <w:t>нутрішньогрупов</w:t>
      </w:r>
      <w:r>
        <w:t>ого</w:t>
      </w:r>
      <w:proofErr w:type="spellEnd"/>
      <w:r w:rsidRPr="00C90DDF">
        <w:t xml:space="preserve"> </w:t>
      </w:r>
      <w:r>
        <w:t>бала</w:t>
      </w:r>
      <w:r>
        <w:rPr>
          <w:lang w:val="uk-UA"/>
        </w:rPr>
        <w:t xml:space="preserve"> представлені у таблиці 2.</w:t>
      </w: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Таблиця 1 - Отримані бальні значення коефіцієнтів фінансово-економічного стану 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  </w:t>
      </w:r>
      <w:r w:rsidRPr="00E510D6">
        <w:rPr>
          <w:lang w:val="uk-UA"/>
        </w:rPr>
        <w:t>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>» (200</w:t>
      </w:r>
      <w:r>
        <w:rPr>
          <w:lang w:val="uk-UA"/>
        </w:rPr>
        <w:t>7</w:t>
      </w:r>
      <w:r w:rsidRPr="00E510D6">
        <w:rPr>
          <w:lang w:val="uk-UA"/>
        </w:rPr>
        <w:t>-2009 рр.)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394"/>
        <w:gridCol w:w="1365"/>
        <w:gridCol w:w="1365"/>
        <w:gridCol w:w="1595"/>
      </w:tblGrid>
      <w:tr w:rsidR="006F612D" w:rsidRPr="00905DD6" w:rsidTr="00877DD8">
        <w:trPr>
          <w:jc w:val="center"/>
        </w:trPr>
        <w:tc>
          <w:tcPr>
            <w:tcW w:w="4394" w:type="dxa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Коефіцієнт</w:t>
            </w:r>
          </w:p>
        </w:tc>
        <w:tc>
          <w:tcPr>
            <w:tcW w:w="1365" w:type="dxa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2007</w:t>
            </w:r>
          </w:p>
        </w:tc>
        <w:tc>
          <w:tcPr>
            <w:tcW w:w="1365" w:type="dxa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595" w:type="dxa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2009</w:t>
            </w:r>
          </w:p>
        </w:tc>
      </w:tr>
      <w:tr w:rsidR="006F612D" w:rsidRPr="00905DD6" w:rsidTr="00877DD8">
        <w:trPr>
          <w:jc w:val="center"/>
        </w:trPr>
        <w:tc>
          <w:tcPr>
            <w:tcW w:w="8719" w:type="dxa"/>
            <w:gridSpan w:val="4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Показники майнового стану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jc w:val="both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Зносу основних засобів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9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jc w:val="both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Відновлення основних засобів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8719" w:type="dxa"/>
            <w:gridSpan w:val="4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Показники ліквідності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Поточної ліквідності (покриття)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Швидкої ліквідності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Абсолютної ліквідності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8719" w:type="dxa"/>
            <w:gridSpan w:val="4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Показники фінансової стійкості (платоспроможності)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Платоспроможності (автономії)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1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</w:t>
            </w:r>
            <w:r w:rsidRPr="00905DD6">
              <w:rPr>
                <w:sz w:val="22"/>
                <w:szCs w:val="22"/>
                <w:lang w:val="uk-UA"/>
              </w:rPr>
              <w:t>ності власними оборотними коштами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1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Маневреності власного капіталу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8719" w:type="dxa"/>
            <w:gridSpan w:val="4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Показники ділової активності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Оборотності активів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Оборотності дебіторської заборгованості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Оборотності матеріальних запасів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Оборотності основних засобів (фондовіддача)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Оборотності власного капіталу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8719" w:type="dxa"/>
            <w:gridSpan w:val="4"/>
            <w:vAlign w:val="center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Показники рентабельності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Рентабельності активів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Рентабельності власного капіталу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Рентабельності діяльності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Рентабельності робіт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905DD6" w:rsidTr="00877DD8">
        <w:trPr>
          <w:jc w:val="center"/>
        </w:trPr>
        <w:tc>
          <w:tcPr>
            <w:tcW w:w="4394" w:type="dxa"/>
          </w:tcPr>
          <w:p w:rsidR="006F612D" w:rsidRPr="00905DD6" w:rsidRDefault="006F612D" w:rsidP="00877DD8">
            <w:pPr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Загальної рентабельності</w:t>
            </w:r>
          </w:p>
        </w:tc>
        <w:tc>
          <w:tcPr>
            <w:tcW w:w="1365" w:type="dxa"/>
            <w:vAlign w:val="bottom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6F612D" w:rsidRPr="00905DD6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905DD6">
              <w:rPr>
                <w:sz w:val="22"/>
                <w:szCs w:val="22"/>
                <w:lang w:val="uk-UA"/>
              </w:rPr>
              <w:t>2</w:t>
            </w:r>
          </w:p>
        </w:tc>
      </w:tr>
    </w:tbl>
    <w:p w:rsidR="006F612D" w:rsidRDefault="006F612D" w:rsidP="006F612D">
      <w:pPr>
        <w:spacing w:line="360" w:lineRule="auto"/>
        <w:jc w:val="both"/>
        <w:rPr>
          <w:lang w:val="en-US"/>
        </w:rPr>
      </w:pP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Таблиця 2 - Отримані </w:t>
      </w:r>
      <w:proofErr w:type="spellStart"/>
      <w:r w:rsidRPr="00E510D6">
        <w:rPr>
          <w:lang w:val="uk-UA"/>
        </w:rPr>
        <w:t>внутрішньогрупові</w:t>
      </w:r>
      <w:proofErr w:type="spellEnd"/>
      <w:r w:rsidRPr="00E510D6">
        <w:rPr>
          <w:lang w:val="uk-UA"/>
        </w:rPr>
        <w:t xml:space="preserve"> бальні значення коефіцієнтів </w:t>
      </w:r>
      <w:proofErr w:type="spellStart"/>
      <w:r w:rsidRPr="00E510D6">
        <w:rPr>
          <w:lang w:val="uk-UA"/>
        </w:rPr>
        <w:t>фінансово-</w:t>
      </w:r>
      <w:proofErr w:type="spellEnd"/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</w:t>
      </w:r>
      <w:r w:rsidRPr="00E510D6">
        <w:rPr>
          <w:lang w:val="uk-UA"/>
        </w:rPr>
        <w:t>економічного стану 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>» (200</w:t>
      </w:r>
      <w:r>
        <w:rPr>
          <w:lang w:val="uk-UA"/>
        </w:rPr>
        <w:t>7</w:t>
      </w:r>
      <w:r w:rsidRPr="00E510D6">
        <w:rPr>
          <w:lang w:val="uk-UA"/>
        </w:rPr>
        <w:t>-2009 рр.)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394"/>
        <w:gridCol w:w="1365"/>
        <w:gridCol w:w="1365"/>
        <w:gridCol w:w="1365"/>
      </w:tblGrid>
      <w:tr w:rsidR="006F612D" w:rsidRPr="00E510D6" w:rsidTr="00877DD8">
        <w:trPr>
          <w:jc w:val="center"/>
        </w:trPr>
        <w:tc>
          <w:tcPr>
            <w:tcW w:w="4394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Коефіцієнт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2007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2009</w:t>
            </w:r>
          </w:p>
        </w:tc>
      </w:tr>
      <w:tr w:rsidR="006F612D" w:rsidRPr="00E510D6" w:rsidTr="00877DD8">
        <w:trPr>
          <w:jc w:val="center"/>
        </w:trPr>
        <w:tc>
          <w:tcPr>
            <w:tcW w:w="4394" w:type="dxa"/>
          </w:tcPr>
          <w:p w:rsidR="006F612D" w:rsidRPr="00A81FAB" w:rsidRDefault="006F612D" w:rsidP="00877DD8">
            <w:pPr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Показники майнового стану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2,5</w:t>
            </w:r>
          </w:p>
        </w:tc>
      </w:tr>
      <w:tr w:rsidR="006F612D" w:rsidRPr="00E510D6" w:rsidTr="00877DD8">
        <w:trPr>
          <w:jc w:val="center"/>
        </w:trPr>
        <w:tc>
          <w:tcPr>
            <w:tcW w:w="4394" w:type="dxa"/>
          </w:tcPr>
          <w:p w:rsidR="006F612D" w:rsidRPr="00A81FAB" w:rsidRDefault="006F612D" w:rsidP="00877DD8">
            <w:pPr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Показники ліквідності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1,33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3</w:t>
            </w:r>
          </w:p>
        </w:tc>
      </w:tr>
      <w:tr w:rsidR="006F612D" w:rsidRPr="00E510D6" w:rsidTr="00877DD8">
        <w:trPr>
          <w:jc w:val="center"/>
        </w:trPr>
        <w:tc>
          <w:tcPr>
            <w:tcW w:w="4394" w:type="dxa"/>
          </w:tcPr>
          <w:p w:rsidR="006F612D" w:rsidRPr="00A81FAB" w:rsidRDefault="006F612D" w:rsidP="00877DD8">
            <w:pPr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Показники фінансової стійкості платоспроможності)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0,75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1,75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1,75</w:t>
            </w:r>
          </w:p>
        </w:tc>
      </w:tr>
      <w:tr w:rsidR="006F612D" w:rsidRPr="00E510D6" w:rsidTr="00877DD8">
        <w:trPr>
          <w:jc w:val="center"/>
        </w:trPr>
        <w:tc>
          <w:tcPr>
            <w:tcW w:w="4394" w:type="dxa"/>
          </w:tcPr>
          <w:p w:rsidR="006F612D" w:rsidRPr="00A81FAB" w:rsidRDefault="006F612D" w:rsidP="00877DD8">
            <w:pPr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Показники ділової активності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2,6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2,8</w:t>
            </w:r>
          </w:p>
        </w:tc>
        <w:tc>
          <w:tcPr>
            <w:tcW w:w="1365" w:type="dxa"/>
            <w:vAlign w:val="center"/>
          </w:tcPr>
          <w:p w:rsidR="006F612D" w:rsidRPr="00A81FAB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A81FAB">
              <w:rPr>
                <w:sz w:val="22"/>
                <w:szCs w:val="22"/>
                <w:lang w:val="uk-UA"/>
              </w:rPr>
              <w:t>2</w:t>
            </w:r>
          </w:p>
        </w:tc>
      </w:tr>
      <w:tr w:rsidR="006F612D" w:rsidRPr="00E510D6" w:rsidTr="00877DD8">
        <w:trPr>
          <w:jc w:val="center"/>
        </w:trPr>
        <w:tc>
          <w:tcPr>
            <w:tcW w:w="4394" w:type="dxa"/>
          </w:tcPr>
          <w:p w:rsidR="006F612D" w:rsidRPr="00E510D6" w:rsidRDefault="006F612D" w:rsidP="00877DD8">
            <w:pPr>
              <w:rPr>
                <w:lang w:val="uk-UA"/>
              </w:rPr>
            </w:pPr>
            <w:r w:rsidRPr="00E510D6">
              <w:rPr>
                <w:lang w:val="uk-UA"/>
              </w:rPr>
              <w:t>Показники рентабельності</w:t>
            </w:r>
          </w:p>
        </w:tc>
        <w:tc>
          <w:tcPr>
            <w:tcW w:w="1365" w:type="dxa"/>
            <w:vAlign w:val="center"/>
          </w:tcPr>
          <w:p w:rsidR="006F612D" w:rsidRPr="00E510D6" w:rsidRDefault="006F612D" w:rsidP="00877DD8">
            <w:pPr>
              <w:ind w:firstLine="709"/>
              <w:jc w:val="center"/>
              <w:rPr>
                <w:lang w:val="uk-UA"/>
              </w:rPr>
            </w:pPr>
            <w:r w:rsidRPr="00E510D6">
              <w:rPr>
                <w:lang w:val="uk-UA"/>
              </w:rPr>
              <w:t>2</w:t>
            </w:r>
          </w:p>
        </w:tc>
        <w:tc>
          <w:tcPr>
            <w:tcW w:w="1365" w:type="dxa"/>
            <w:vAlign w:val="center"/>
          </w:tcPr>
          <w:p w:rsidR="006F612D" w:rsidRPr="00E510D6" w:rsidRDefault="006F612D" w:rsidP="00877DD8">
            <w:pPr>
              <w:ind w:firstLine="709"/>
              <w:jc w:val="center"/>
              <w:rPr>
                <w:lang w:val="uk-UA"/>
              </w:rPr>
            </w:pPr>
            <w:r w:rsidRPr="00E510D6">
              <w:rPr>
                <w:lang w:val="uk-UA"/>
              </w:rPr>
              <w:t>2,8</w:t>
            </w:r>
          </w:p>
        </w:tc>
        <w:tc>
          <w:tcPr>
            <w:tcW w:w="1365" w:type="dxa"/>
            <w:vAlign w:val="center"/>
          </w:tcPr>
          <w:p w:rsidR="006F612D" w:rsidRPr="00E510D6" w:rsidRDefault="006F612D" w:rsidP="00877DD8">
            <w:pPr>
              <w:ind w:firstLine="709"/>
              <w:jc w:val="center"/>
              <w:rPr>
                <w:lang w:val="uk-UA"/>
              </w:rPr>
            </w:pPr>
            <w:r w:rsidRPr="00E510D6">
              <w:rPr>
                <w:lang w:val="uk-UA"/>
              </w:rPr>
              <w:t>2,2</w:t>
            </w:r>
          </w:p>
        </w:tc>
      </w:tr>
    </w:tbl>
    <w:p w:rsidR="006F612D" w:rsidRDefault="006F612D" w:rsidP="006F612D">
      <w:pPr>
        <w:spacing w:line="360" w:lineRule="auto"/>
        <w:jc w:val="both"/>
        <w:rPr>
          <w:lang w:val="uk-UA"/>
        </w:rPr>
      </w:pPr>
    </w:p>
    <w:p w:rsidR="006F612D" w:rsidRDefault="006F612D" w:rsidP="006F612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Для обчислення величини інтегрального показника необхідно здійснити підсумовування отриманих середніх внутрішньо групових бальних значень кожної з груп за такою формулою (2):</w:t>
      </w:r>
    </w:p>
    <w:p w:rsidR="006F612D" w:rsidRDefault="006F612D" w:rsidP="006F612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Pr="004D79B6">
        <w:rPr>
          <w:position w:val="-24"/>
          <w:lang w:val="uk-UA"/>
        </w:rPr>
        <w:object w:dxaOrig="1700" w:dyaOrig="999">
          <v:shape id="_x0000_i1026" type="#_x0000_t75" style="width:84.75pt;height:49.7pt" o:ole="">
            <v:imagedata r:id="rId8" o:title=""/>
          </v:shape>
          <o:OLEObject Type="Embed" ProgID="Equation.3" ShapeID="_x0000_i1026" DrawAspect="Content" ObjectID="_1428525515" r:id="rId9"/>
        </w:object>
      </w:r>
      <w:r>
        <w:rPr>
          <w:lang w:val="uk-UA"/>
        </w:rPr>
        <w:t>,                                                              (2)</w:t>
      </w:r>
    </w:p>
    <w:p w:rsidR="006F612D" w:rsidRDefault="006F612D" w:rsidP="006F612D">
      <w:pPr>
        <w:tabs>
          <w:tab w:val="center" w:pos="540"/>
        </w:tabs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>де     ІПР – інтегральний показник ризику діяльності підприємства;</w:t>
      </w:r>
    </w:p>
    <w:p w:rsidR="006F612D" w:rsidRDefault="006F612D" w:rsidP="006F612D">
      <w:pPr>
        <w:spacing w:line="360" w:lineRule="auto"/>
        <w:ind w:left="540"/>
        <w:jc w:val="both"/>
        <w:rPr>
          <w:lang w:val="uk-UA"/>
        </w:rPr>
      </w:pPr>
      <w:proofErr w:type="spellStart"/>
      <w:r>
        <w:rPr>
          <w:lang w:val="uk-UA"/>
        </w:rPr>
        <w:t>СВгБ</w:t>
      </w:r>
      <w:r w:rsidRPr="00AF1380">
        <w:rPr>
          <w:vertAlign w:val="subscript"/>
          <w:lang w:val="uk-UA"/>
        </w:rPr>
        <w:t>j</w:t>
      </w:r>
      <w:proofErr w:type="spellEnd"/>
      <w:r w:rsidRPr="00625327">
        <w:rPr>
          <w:lang w:val="uk-UA"/>
        </w:rPr>
        <w:t xml:space="preserve"> – значення середнього </w:t>
      </w:r>
      <w:proofErr w:type="spellStart"/>
      <w:r w:rsidRPr="00625327">
        <w:rPr>
          <w:lang w:val="uk-UA"/>
        </w:rPr>
        <w:t>внутрішньогрупового</w:t>
      </w:r>
      <w:proofErr w:type="spellEnd"/>
      <w:r w:rsidRPr="00625327">
        <w:rPr>
          <w:lang w:val="uk-UA"/>
        </w:rPr>
        <w:t xml:space="preserve"> балу </w:t>
      </w:r>
      <w:r>
        <w:rPr>
          <w:lang w:val="en-US"/>
        </w:rPr>
        <w:t>j</w:t>
      </w:r>
      <w:r w:rsidRPr="00625327">
        <w:rPr>
          <w:lang w:val="uk-UA"/>
        </w:rPr>
        <w:t xml:space="preserve">–ї </w:t>
      </w:r>
      <w:r>
        <w:rPr>
          <w:lang w:val="uk-UA"/>
        </w:rPr>
        <w:t xml:space="preserve">групи показників; </w:t>
      </w:r>
    </w:p>
    <w:p w:rsidR="006F612D" w:rsidRDefault="006F612D" w:rsidP="006F612D">
      <w:pPr>
        <w:spacing w:line="360" w:lineRule="auto"/>
        <w:ind w:left="540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en-US"/>
        </w:rPr>
        <w:t>k</w:t>
      </w:r>
      <w:r w:rsidRPr="00AD5BC0">
        <w:t xml:space="preserve"> – </w:t>
      </w:r>
      <w:proofErr w:type="spellStart"/>
      <w:proofErr w:type="gramStart"/>
      <w:r w:rsidRPr="00AD5BC0">
        <w:t>кількість</w:t>
      </w:r>
      <w:proofErr w:type="spellEnd"/>
      <w:proofErr w:type="gramEnd"/>
      <w:r w:rsidRPr="00AD5BC0">
        <w:t xml:space="preserve"> </w:t>
      </w:r>
      <w:r>
        <w:rPr>
          <w:lang w:val="uk-UA"/>
        </w:rPr>
        <w:t>груп показників [</w:t>
      </w:r>
      <w:r w:rsidRPr="00625327">
        <w:t>1</w:t>
      </w:r>
      <w:r>
        <w:rPr>
          <w:lang w:val="uk-UA"/>
        </w:rPr>
        <w:t xml:space="preserve">]. </w:t>
      </w:r>
    </w:p>
    <w:p w:rsidR="006F612D" w:rsidRDefault="006F612D" w:rsidP="006F612D">
      <w:pPr>
        <w:spacing w:line="360" w:lineRule="auto"/>
        <w:ind w:left="540"/>
        <w:jc w:val="both"/>
        <w:rPr>
          <w:lang w:val="uk-UA"/>
        </w:rPr>
      </w:pPr>
      <w:r>
        <w:rPr>
          <w:lang w:val="uk-UA"/>
        </w:rPr>
        <w:t xml:space="preserve"> Величина  інтегрального показника приведений у таблиці 3.</w:t>
      </w: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Таблиця 3 - Отримані значення інтегрального показника ризику діяльності БМАТ ЗТ 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                   </w:t>
      </w:r>
      <w:r w:rsidRPr="00E510D6">
        <w:rPr>
          <w:lang w:val="uk-UA"/>
        </w:rPr>
        <w:t>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>» (200</w:t>
      </w:r>
      <w:r>
        <w:rPr>
          <w:lang w:val="uk-UA"/>
        </w:rPr>
        <w:t>7</w:t>
      </w:r>
      <w:r w:rsidRPr="00E510D6">
        <w:rPr>
          <w:lang w:val="uk-UA"/>
        </w:rPr>
        <w:t>-2009 рр.)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708"/>
        <w:gridCol w:w="1620"/>
        <w:gridCol w:w="1440"/>
        <w:gridCol w:w="1365"/>
      </w:tblGrid>
      <w:tr w:rsidR="006F612D" w:rsidRPr="00E510D6" w:rsidTr="00877DD8">
        <w:trPr>
          <w:jc w:val="center"/>
        </w:trPr>
        <w:tc>
          <w:tcPr>
            <w:tcW w:w="3708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Коефіцієнт</w:t>
            </w:r>
          </w:p>
        </w:tc>
        <w:tc>
          <w:tcPr>
            <w:tcW w:w="1620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2008</w:t>
            </w:r>
          </w:p>
        </w:tc>
        <w:tc>
          <w:tcPr>
            <w:tcW w:w="1365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2009</w:t>
            </w:r>
          </w:p>
        </w:tc>
      </w:tr>
      <w:tr w:rsidR="006F612D" w:rsidRPr="00E510D6" w:rsidTr="00877DD8">
        <w:trPr>
          <w:jc w:val="center"/>
        </w:trPr>
        <w:tc>
          <w:tcPr>
            <w:tcW w:w="3708" w:type="dxa"/>
          </w:tcPr>
          <w:p w:rsidR="006F612D" w:rsidRPr="007B097A" w:rsidRDefault="006F612D" w:rsidP="00877DD8">
            <w:pPr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Інтегральний показник ризику діяльності товариства</w:t>
            </w:r>
          </w:p>
        </w:tc>
        <w:tc>
          <w:tcPr>
            <w:tcW w:w="1620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1,64</w:t>
            </w:r>
          </w:p>
        </w:tc>
        <w:tc>
          <w:tcPr>
            <w:tcW w:w="1440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2,37</w:t>
            </w:r>
          </w:p>
        </w:tc>
        <w:tc>
          <w:tcPr>
            <w:tcW w:w="1365" w:type="dxa"/>
            <w:vAlign w:val="center"/>
          </w:tcPr>
          <w:p w:rsidR="006F612D" w:rsidRPr="007B097A" w:rsidRDefault="006F612D" w:rsidP="00877DD8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 w:rsidRPr="007B097A">
              <w:rPr>
                <w:sz w:val="22"/>
                <w:szCs w:val="22"/>
                <w:lang w:val="uk-UA"/>
              </w:rPr>
              <w:t>2,29</w:t>
            </w:r>
          </w:p>
        </w:tc>
      </w:tr>
    </w:tbl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Для того, щоб визначити рівень ризику діяльності товариства за допомогою інтегрального показника, необхідно визначити межі зон ризику. У науково-економічній літературі </w:t>
      </w:r>
      <w:r w:rsidRPr="003532DE">
        <w:t>[1]</w:t>
      </w:r>
      <w:r>
        <w:rPr>
          <w:lang w:val="uk-UA"/>
        </w:rPr>
        <w:t xml:space="preserve"> виділяються </w:t>
      </w:r>
      <w:proofErr w:type="spellStart"/>
      <w:r>
        <w:rPr>
          <w:lang w:val="uk-UA"/>
        </w:rPr>
        <w:t>безризикова</w:t>
      </w:r>
      <w:proofErr w:type="spellEnd"/>
      <w:r>
        <w:rPr>
          <w:lang w:val="uk-UA"/>
        </w:rPr>
        <w:t xml:space="preserve">, допустима, критична та катастрофічна зони ризику з такими межами: якщо інтегральний показник знаходиться у інтервалі від 0 до 0,75, то маємо катастрофічну зону ризику, від 0,75 до 1,5 – критичну зону, від 1,5 до 2,25 – допустиму, від 2,25  до 3 – </w:t>
      </w:r>
      <w:proofErr w:type="spellStart"/>
      <w:r>
        <w:rPr>
          <w:lang w:val="uk-UA"/>
        </w:rPr>
        <w:t>безризикову</w:t>
      </w:r>
      <w:proofErr w:type="spellEnd"/>
      <w:r>
        <w:rPr>
          <w:lang w:val="uk-UA"/>
        </w:rPr>
        <w:t xml:space="preserve"> зону.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Таким чином, отримані дані свідчать про те, що: у 2007 році інтегральний показник діяльності 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 xml:space="preserve">» знаходився у </w:t>
      </w:r>
      <w:r>
        <w:rPr>
          <w:lang w:val="uk-UA"/>
        </w:rPr>
        <w:t>нижній межі допустимої</w:t>
      </w:r>
      <w:r w:rsidRPr="00E510D6">
        <w:rPr>
          <w:lang w:val="uk-UA"/>
        </w:rPr>
        <w:t xml:space="preserve"> зони ризику, а у 2008 та 2009 роках у </w:t>
      </w:r>
      <w:r>
        <w:rPr>
          <w:lang w:val="uk-UA"/>
        </w:rPr>
        <w:t>–</w:t>
      </w:r>
      <w:r w:rsidRPr="00E510D6">
        <w:rPr>
          <w:lang w:val="uk-UA"/>
        </w:rPr>
        <w:t xml:space="preserve"> </w:t>
      </w:r>
      <w:r>
        <w:rPr>
          <w:lang w:val="uk-UA"/>
        </w:rPr>
        <w:t xml:space="preserve">нижній межі </w:t>
      </w:r>
      <w:proofErr w:type="spellStart"/>
      <w:r>
        <w:rPr>
          <w:lang w:val="uk-UA"/>
        </w:rPr>
        <w:t>безризикової</w:t>
      </w:r>
      <w:proofErr w:type="spellEnd"/>
      <w:r>
        <w:rPr>
          <w:lang w:val="uk-UA"/>
        </w:rPr>
        <w:t xml:space="preserve"> зони</w:t>
      </w:r>
      <w:r w:rsidRPr="00E510D6">
        <w:rPr>
          <w:lang w:val="uk-UA"/>
        </w:rPr>
        <w:t>, тобто у 2008 р. намітилась позитивна тенденція до зростання величини інтегрального показника, а вже у 2009 – тенденція до зниження (фінансово-господарське становище товариства наближається до верхньої межі допустимої зони ризику).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От</w:t>
      </w:r>
      <w:r w:rsidRPr="00E510D6">
        <w:rPr>
          <w:lang w:val="uk-UA"/>
        </w:rPr>
        <w:t>же, можна зазначити, що оскільки динаміка зміни діяльності товариства перебуває на відносно стабільному рівні, незначно погіршуючись/поліпшуючись від періоду до періоду, то загалом можна віднести фінансово-господарське становище товариства до допустимої зони ризику, що означає, що:</w:t>
      </w:r>
      <w:r>
        <w:rPr>
          <w:lang w:val="uk-UA"/>
        </w:rPr>
        <w:t xml:space="preserve"> 1) </w:t>
      </w:r>
      <w:r w:rsidRPr="00E510D6">
        <w:rPr>
          <w:lang w:val="uk-UA"/>
        </w:rPr>
        <w:t xml:space="preserve">товариство зберігає свою економічну доцільність; </w:t>
      </w:r>
      <w:r>
        <w:rPr>
          <w:lang w:val="uk-UA"/>
        </w:rPr>
        <w:t xml:space="preserve">2) </w:t>
      </w:r>
      <w:r w:rsidRPr="00E510D6">
        <w:rPr>
          <w:lang w:val="uk-UA"/>
        </w:rPr>
        <w:t xml:space="preserve">має прийнятний рівень рентабельності й ділової активності; </w:t>
      </w:r>
      <w:r>
        <w:rPr>
          <w:lang w:val="uk-UA"/>
        </w:rPr>
        <w:t xml:space="preserve">3) </w:t>
      </w:r>
      <w:r w:rsidRPr="00E510D6">
        <w:rPr>
          <w:lang w:val="uk-UA"/>
        </w:rPr>
        <w:t xml:space="preserve">основні засоби товариства мають тенденцію до фізичного й морального старіння; </w:t>
      </w:r>
      <w:r>
        <w:rPr>
          <w:lang w:val="uk-UA"/>
        </w:rPr>
        <w:t xml:space="preserve">4) </w:t>
      </w:r>
      <w:r w:rsidRPr="00E510D6">
        <w:rPr>
          <w:lang w:val="uk-UA"/>
        </w:rPr>
        <w:t>розрахунок за своїми зобов'язаннями відбувається з деякими затримками, а контрагенти товариства у свою чергу так само з деякими затримками погашають свою заборгованість.</w:t>
      </w:r>
    </w:p>
    <w:p w:rsidR="006F612D" w:rsidRPr="00E510D6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Таку ситуацію, коли динаміка зміни діяльності товариства незначно погіршується/поліпшується від періоду до періоду, можна пояснити будівельною галуззю діяльності товариства, оскільки, головною проблемою, яка призводить до браку у коштів у певний проміжок часу є порядок розрахунків товариства із замовниками будівельно-монтажних робіт. Він передбачає виконання 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 xml:space="preserve">»  будівельно-монтажних робіт у перші 3 місяці за власні кошти, лише по закінченні цього </w:t>
      </w:r>
      <w:r w:rsidRPr="00E510D6">
        <w:rPr>
          <w:lang w:val="uk-UA"/>
        </w:rPr>
        <w:lastRenderedPageBreak/>
        <w:t xml:space="preserve">терміну товариство починає отримувати оплату за виконані роботи частково  протягом певного проміжку часу у відповідності до укладеного договору. Це зумовлює пошук грошових коштів для оплати витрат будівництва у поточному періоді й отримання їх у вигляді короткострокових кредитів банків, що значно </w:t>
      </w:r>
      <w:proofErr w:type="spellStart"/>
      <w:r w:rsidRPr="00E510D6">
        <w:rPr>
          <w:lang w:val="uk-UA"/>
        </w:rPr>
        <w:t>удорожчує</w:t>
      </w:r>
      <w:proofErr w:type="spellEnd"/>
      <w:r w:rsidRPr="00E510D6">
        <w:rPr>
          <w:lang w:val="uk-UA"/>
        </w:rPr>
        <w:t xml:space="preserve"> собівартість виконання робіт й підвищує ризик неплатежу з боку замовників робіт. Тобто у товариства існує велика сума дебіторської заборгованості за виконані будівельно-монтажні роботи.</w:t>
      </w:r>
    </w:p>
    <w:p w:rsidR="006F612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Проведений аналіз фінансово-господарського стану БМАТ ЗТ «</w:t>
      </w:r>
      <w:proofErr w:type="spellStart"/>
      <w:r w:rsidRPr="00E510D6">
        <w:rPr>
          <w:lang w:val="uk-UA"/>
        </w:rPr>
        <w:t>Донбасатоменергомонтаж</w:t>
      </w:r>
      <w:proofErr w:type="spellEnd"/>
      <w:r w:rsidRPr="00E510D6">
        <w:rPr>
          <w:lang w:val="uk-UA"/>
        </w:rPr>
        <w:t>» шляхом розрахунків показників діяльності товариства, а саме: показників майнового стану, ліквідності, фінансової стійкості (платоспроможності), ділової активності, рентабельності, та узагальнюючого інтегрального показника дає змогу запропонувати деякі заходи щодо  поліпшення  фінансово-господарського становища товариства у майбутньому:</w:t>
      </w:r>
    </w:p>
    <w:p w:rsidR="006F612D" w:rsidRDefault="006F612D" w:rsidP="006F612D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E510D6">
        <w:rPr>
          <w:lang w:val="uk-UA"/>
        </w:rPr>
        <w:t>укладати договори на виконання будівельно-монтажних робіт із надійними платоспроможними замовниками;</w:t>
      </w:r>
    </w:p>
    <w:p w:rsidR="006F612D" w:rsidRDefault="006F612D" w:rsidP="006F612D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E510D6">
        <w:rPr>
          <w:lang w:val="uk-UA"/>
        </w:rPr>
        <w:t>намагатися укладати договори на більш прийнятних і вигідних умовах для товариства;</w:t>
      </w:r>
    </w:p>
    <w:p w:rsidR="006F612D" w:rsidRPr="00E510D6" w:rsidRDefault="006F612D" w:rsidP="006F612D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E510D6">
        <w:rPr>
          <w:lang w:val="uk-UA"/>
        </w:rPr>
        <w:t>пошук більш дешевих позикових коштів, проведення переговорів із банком щодо надання певних пільг товариству як постійному клієнтові.</w:t>
      </w:r>
    </w:p>
    <w:p w:rsidR="006F612D" w:rsidRPr="00583D3D" w:rsidRDefault="006F612D" w:rsidP="006F612D">
      <w:pPr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>Ці заходи дадуть змогу дещо скоротити собівартість виконання робіт за рахунок зменшення дебіторської заборгованості, вчасності розрахунків із замовниками та зниження потреби товариства у додаткових позикових грошових коштах</w:t>
      </w:r>
      <w:r>
        <w:rPr>
          <w:lang w:val="uk-UA"/>
        </w:rPr>
        <w:t>. Також такі заходи дозволять знизити ризик неплатежу замовників будівельно-монтажних робіт, ризику неповернення товариством короткострокового кредиту, ризик неплатоспроможності та загалом знизити ризик діяльності товариства та поліпшить фінансово-господарське становище.</w:t>
      </w:r>
    </w:p>
    <w:p w:rsidR="006F612D" w:rsidRDefault="006F612D" w:rsidP="006F612D">
      <w:pPr>
        <w:tabs>
          <w:tab w:val="left" w:pos="945"/>
        </w:tabs>
        <w:spacing w:line="360" w:lineRule="auto"/>
        <w:ind w:firstLine="709"/>
        <w:jc w:val="both"/>
        <w:rPr>
          <w:lang w:val="uk-UA"/>
        </w:rPr>
      </w:pPr>
    </w:p>
    <w:p w:rsidR="006F612D" w:rsidRPr="00E510D6" w:rsidRDefault="006F612D" w:rsidP="006F612D">
      <w:pPr>
        <w:tabs>
          <w:tab w:val="left" w:pos="945"/>
        </w:tabs>
        <w:spacing w:line="360" w:lineRule="auto"/>
        <w:ind w:firstLine="709"/>
        <w:jc w:val="both"/>
        <w:rPr>
          <w:lang w:val="uk-UA"/>
        </w:rPr>
      </w:pPr>
    </w:p>
    <w:p w:rsidR="006F612D" w:rsidRPr="00E510D6" w:rsidRDefault="006F612D" w:rsidP="006F612D">
      <w:pPr>
        <w:tabs>
          <w:tab w:val="left" w:pos="945"/>
        </w:tabs>
        <w:spacing w:line="360" w:lineRule="auto"/>
        <w:ind w:firstLine="709"/>
        <w:jc w:val="both"/>
        <w:rPr>
          <w:lang w:val="uk-UA"/>
        </w:rPr>
      </w:pPr>
      <w:r w:rsidRPr="00E510D6">
        <w:rPr>
          <w:lang w:val="uk-UA"/>
        </w:rPr>
        <w:t xml:space="preserve">                                                   Перелік посилань</w:t>
      </w:r>
    </w:p>
    <w:p w:rsidR="006F612D" w:rsidRPr="00E510D6" w:rsidRDefault="006F612D" w:rsidP="006F612D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lang w:val="uk-UA"/>
        </w:rPr>
      </w:pPr>
      <w:r w:rsidRPr="00E510D6">
        <w:rPr>
          <w:lang w:val="uk-UA"/>
        </w:rPr>
        <w:t>Внукова Н. М., Смоляк В. А. Економічна оцінка ризику діяльності підприємств: проблеми теорії та практики: Монографія. – Х.: ВД «ІНЖЕК», 2006. – 184 с.</w:t>
      </w:r>
    </w:p>
    <w:p w:rsidR="006F612D" w:rsidRPr="00E510D6" w:rsidRDefault="006F612D" w:rsidP="006F612D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rStyle w:val="FontStyle13"/>
          <w:sz w:val="24"/>
          <w:szCs w:val="24"/>
          <w:lang w:val="uk-UA"/>
        </w:rPr>
      </w:pPr>
      <w:r w:rsidRPr="00E510D6">
        <w:rPr>
          <w:rStyle w:val="FontStyle11"/>
          <w:sz w:val="24"/>
          <w:szCs w:val="24"/>
        </w:rPr>
        <w:t>Балабанов И.Т.</w:t>
      </w:r>
      <w:r w:rsidRPr="00E510D6">
        <w:rPr>
          <w:rStyle w:val="FontStyle11"/>
          <w:b/>
          <w:bCs/>
          <w:sz w:val="24"/>
          <w:szCs w:val="24"/>
          <w:lang w:val="uk-UA"/>
        </w:rPr>
        <w:t xml:space="preserve"> </w:t>
      </w:r>
      <w:r w:rsidRPr="00E510D6">
        <w:rPr>
          <w:rStyle w:val="FontStyle13"/>
          <w:sz w:val="24"/>
          <w:szCs w:val="24"/>
        </w:rPr>
        <w:t xml:space="preserve">Риск-менеджмент. </w:t>
      </w:r>
      <w:r w:rsidRPr="00E510D6">
        <w:rPr>
          <w:lang w:val="uk-UA"/>
        </w:rPr>
        <w:t>–</w:t>
      </w:r>
      <w:r w:rsidRPr="00E510D6">
        <w:rPr>
          <w:rStyle w:val="FontStyle13"/>
          <w:sz w:val="24"/>
          <w:szCs w:val="24"/>
        </w:rPr>
        <w:t xml:space="preserve"> М.: Финансы и статистика, 1996. </w:t>
      </w:r>
      <w:r w:rsidRPr="00E510D6">
        <w:rPr>
          <w:lang w:val="uk-UA"/>
        </w:rPr>
        <w:t>–</w:t>
      </w:r>
      <w:r w:rsidRPr="00E510D6">
        <w:rPr>
          <w:rStyle w:val="FontStyle13"/>
          <w:sz w:val="24"/>
          <w:szCs w:val="24"/>
        </w:rPr>
        <w:t xml:space="preserve"> 192 с.</w:t>
      </w:r>
    </w:p>
    <w:p w:rsidR="006F612D" w:rsidRPr="00E510D6" w:rsidRDefault="006F612D" w:rsidP="006F612D">
      <w:pPr>
        <w:numPr>
          <w:ilvl w:val="0"/>
          <w:numId w:val="2"/>
        </w:numPr>
        <w:tabs>
          <w:tab w:val="clear" w:pos="1260"/>
          <w:tab w:val="num" w:pos="0"/>
          <w:tab w:val="left" w:pos="945"/>
        </w:tabs>
        <w:spacing w:line="360" w:lineRule="auto"/>
        <w:ind w:left="0" w:firstLine="540"/>
        <w:jc w:val="both"/>
        <w:rPr>
          <w:lang w:val="uk-UA"/>
        </w:rPr>
      </w:pPr>
      <w:r w:rsidRPr="00E510D6">
        <w:rPr>
          <w:lang w:val="uk-UA"/>
        </w:rPr>
        <w:t xml:space="preserve">М. Г. </w:t>
      </w:r>
      <w:proofErr w:type="spellStart"/>
      <w:r w:rsidRPr="00E510D6">
        <w:rPr>
          <w:lang w:val="uk-UA"/>
        </w:rPr>
        <w:t>Лапуста</w:t>
      </w:r>
      <w:proofErr w:type="spellEnd"/>
      <w:r w:rsidRPr="00E510D6">
        <w:rPr>
          <w:lang w:val="uk-UA"/>
        </w:rPr>
        <w:t xml:space="preserve">, Л. Г. </w:t>
      </w:r>
      <w:proofErr w:type="spellStart"/>
      <w:r w:rsidRPr="00E510D6">
        <w:rPr>
          <w:lang w:val="uk-UA"/>
        </w:rPr>
        <w:t>Шаршукова</w:t>
      </w:r>
      <w:proofErr w:type="spellEnd"/>
      <w:r w:rsidRPr="00E510D6">
        <w:rPr>
          <w:lang w:val="uk-UA"/>
        </w:rPr>
        <w:t xml:space="preserve">. Риски в </w:t>
      </w:r>
      <w:proofErr w:type="spellStart"/>
      <w:r w:rsidRPr="00E510D6">
        <w:rPr>
          <w:lang w:val="uk-UA"/>
        </w:rPr>
        <w:t>предпринимательской</w:t>
      </w:r>
      <w:proofErr w:type="spellEnd"/>
      <w:r w:rsidRPr="00E510D6">
        <w:rPr>
          <w:lang w:val="uk-UA"/>
        </w:rPr>
        <w:t xml:space="preserve"> </w:t>
      </w:r>
      <w:proofErr w:type="spellStart"/>
      <w:r w:rsidRPr="00E510D6">
        <w:rPr>
          <w:lang w:val="uk-UA"/>
        </w:rPr>
        <w:t>деятельности</w:t>
      </w:r>
      <w:proofErr w:type="spellEnd"/>
      <w:r w:rsidRPr="00E510D6">
        <w:rPr>
          <w:lang w:val="uk-UA"/>
        </w:rPr>
        <w:t>. – М.: "ИНФРА-М", 1998. – 223 с.</w:t>
      </w:r>
    </w:p>
    <w:p w:rsidR="006F612D" w:rsidRPr="00E510D6" w:rsidRDefault="006F612D" w:rsidP="006F612D">
      <w:pPr>
        <w:numPr>
          <w:ilvl w:val="0"/>
          <w:numId w:val="2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lang w:val="uk-UA"/>
        </w:rPr>
      </w:pPr>
      <w:proofErr w:type="spellStart"/>
      <w:r w:rsidRPr="00E510D6">
        <w:rPr>
          <w:lang w:val="uk-UA"/>
        </w:rPr>
        <w:t>Финансовый</w:t>
      </w:r>
      <w:proofErr w:type="spellEnd"/>
      <w:r w:rsidRPr="00E510D6">
        <w:rPr>
          <w:lang w:val="uk-UA"/>
        </w:rPr>
        <w:t xml:space="preserve"> менеджмент: </w:t>
      </w:r>
      <w:proofErr w:type="spellStart"/>
      <w:r w:rsidRPr="00E510D6">
        <w:rPr>
          <w:lang w:val="uk-UA"/>
        </w:rPr>
        <w:t>теория</w:t>
      </w:r>
      <w:proofErr w:type="spellEnd"/>
      <w:r w:rsidRPr="00E510D6">
        <w:rPr>
          <w:lang w:val="uk-UA"/>
        </w:rPr>
        <w:t xml:space="preserve"> </w:t>
      </w:r>
      <w:r w:rsidRPr="00E510D6">
        <w:t>и практика: Учебник/ Под ред. Е. С. Стояновой. – М.: Перспектива. – 2004. – 656 с.</w:t>
      </w:r>
    </w:p>
    <w:p w:rsidR="00936375" w:rsidRPr="006F612D" w:rsidRDefault="00936375">
      <w:pPr>
        <w:rPr>
          <w:lang w:val="uk-UA"/>
        </w:rPr>
      </w:pPr>
      <w:bookmarkStart w:id="0" w:name="_GoBack"/>
      <w:bookmarkEnd w:id="0"/>
    </w:p>
    <w:sectPr w:rsidR="00936375" w:rsidRPr="006F612D" w:rsidSect="009D3D8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23" w:rsidRDefault="006F612D" w:rsidP="00BB449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52723" w:rsidRDefault="006F612D" w:rsidP="008A371E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F2F"/>
    <w:multiLevelType w:val="hybridMultilevel"/>
    <w:tmpl w:val="41BA0E5C"/>
    <w:lvl w:ilvl="0" w:tplc="1E9213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6C525176"/>
    <w:multiLevelType w:val="hybridMultilevel"/>
    <w:tmpl w:val="B35C469E"/>
    <w:lvl w:ilvl="0" w:tplc="CCAC75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8C"/>
    <w:rsid w:val="002342FA"/>
    <w:rsid w:val="003432D6"/>
    <w:rsid w:val="003828A8"/>
    <w:rsid w:val="005141C7"/>
    <w:rsid w:val="006F612D"/>
    <w:rsid w:val="00730EAB"/>
    <w:rsid w:val="007F1B0A"/>
    <w:rsid w:val="00936375"/>
    <w:rsid w:val="00DC5E58"/>
    <w:rsid w:val="00DD068C"/>
    <w:rsid w:val="00E20B87"/>
    <w:rsid w:val="00F10335"/>
    <w:rsid w:val="00F92788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F612D"/>
    <w:pPr>
      <w:widowControl w:val="0"/>
      <w:autoSpaceDE w:val="0"/>
      <w:autoSpaceDN w:val="0"/>
      <w:adjustRightInd w:val="0"/>
      <w:spacing w:line="230" w:lineRule="exact"/>
      <w:ind w:firstLine="619"/>
      <w:jc w:val="both"/>
    </w:pPr>
    <w:rPr>
      <w:rFonts w:ascii="Franklin Gothic Medium Cond" w:hAnsi="Franklin Gothic Medium Cond" w:cs="Franklin Gothic Medium Cond"/>
    </w:rPr>
  </w:style>
  <w:style w:type="character" w:customStyle="1" w:styleId="FontStyle13">
    <w:name w:val="Font Style13"/>
    <w:basedOn w:val="a0"/>
    <w:uiPriority w:val="99"/>
    <w:rsid w:val="006F612D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6F612D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rsid w:val="006F61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6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F612D"/>
    <w:pPr>
      <w:widowControl w:val="0"/>
      <w:autoSpaceDE w:val="0"/>
      <w:autoSpaceDN w:val="0"/>
      <w:adjustRightInd w:val="0"/>
      <w:spacing w:line="230" w:lineRule="exact"/>
      <w:ind w:firstLine="619"/>
      <w:jc w:val="both"/>
    </w:pPr>
    <w:rPr>
      <w:rFonts w:ascii="Franklin Gothic Medium Cond" w:hAnsi="Franklin Gothic Medium Cond" w:cs="Franklin Gothic Medium Cond"/>
    </w:rPr>
  </w:style>
  <w:style w:type="character" w:customStyle="1" w:styleId="FontStyle13">
    <w:name w:val="Font Style13"/>
    <w:basedOn w:val="a0"/>
    <w:uiPriority w:val="99"/>
    <w:rsid w:val="006F612D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6F612D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rsid w:val="006F61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F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F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9723</Characters>
  <Application>Microsoft Office Word</Application>
  <DocSecurity>0</DocSecurity>
  <Lines>81</Lines>
  <Paragraphs>22</Paragraphs>
  <ScaleCrop>false</ScaleCrop>
  <Company>***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2013-04-26T20:50:00Z</dcterms:created>
  <dcterms:modified xsi:type="dcterms:W3CDTF">2013-04-26T20:50:00Z</dcterms:modified>
</cp:coreProperties>
</file>