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77" w:rsidRPr="001026D6" w:rsidRDefault="00B34B77" w:rsidP="00B34B77">
      <w:pPr>
        <w:spacing w:after="240"/>
        <w:rPr>
          <w:caps/>
          <w:sz w:val="28"/>
          <w:szCs w:val="28"/>
        </w:rPr>
      </w:pPr>
      <w:r w:rsidRPr="001026D6">
        <w:rPr>
          <w:caps/>
          <w:sz w:val="28"/>
          <w:szCs w:val="28"/>
        </w:rPr>
        <w:t>УДК</w:t>
      </w:r>
      <w:r>
        <w:rPr>
          <w:caps/>
          <w:sz w:val="28"/>
          <w:szCs w:val="28"/>
        </w:rPr>
        <w:t xml:space="preserve"> 621.867</w:t>
      </w:r>
    </w:p>
    <w:p w:rsidR="00B34B77" w:rsidRDefault="00B34B77" w:rsidP="00B34B7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оценка влияния</w:t>
      </w:r>
      <w:r w:rsidRPr="000449F7">
        <w:rPr>
          <w:b/>
          <w:caps/>
          <w:sz w:val="28"/>
          <w:szCs w:val="28"/>
        </w:rPr>
        <w:t xml:space="preserve"> гранулометрического состава</w:t>
      </w:r>
    </w:p>
    <w:p w:rsidR="00B34B77" w:rsidRDefault="00B34B77" w:rsidP="00B34B77">
      <w:pPr>
        <w:spacing w:after="240"/>
        <w:rPr>
          <w:b/>
          <w:caps/>
          <w:sz w:val="28"/>
          <w:szCs w:val="28"/>
        </w:rPr>
      </w:pPr>
      <w:r w:rsidRPr="000449F7">
        <w:rPr>
          <w:b/>
          <w:caps/>
          <w:sz w:val="28"/>
          <w:szCs w:val="28"/>
        </w:rPr>
        <w:t>транспортируемого груза</w:t>
      </w:r>
      <w:r>
        <w:rPr>
          <w:b/>
          <w:caps/>
          <w:sz w:val="28"/>
          <w:szCs w:val="28"/>
        </w:rPr>
        <w:t xml:space="preserve"> на режимы работы приводных механизмов  ленточных и скребковых ко</w:t>
      </w:r>
      <w:r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>вейеров</w:t>
      </w:r>
    </w:p>
    <w:p w:rsidR="00B34B77" w:rsidRPr="00937AC1" w:rsidRDefault="00B34B77" w:rsidP="00B34B77">
      <w:pPr>
        <w:rPr>
          <w:b/>
          <w:sz w:val="28"/>
          <w:szCs w:val="28"/>
        </w:rPr>
      </w:pPr>
      <w:r w:rsidRPr="00937AC1">
        <w:rPr>
          <w:b/>
          <w:sz w:val="28"/>
          <w:szCs w:val="28"/>
        </w:rPr>
        <w:t xml:space="preserve">Жаботин А.А., студент, </w:t>
      </w:r>
      <w:bookmarkStart w:id="0" w:name="_GoBack"/>
      <w:r w:rsidRPr="00937AC1">
        <w:rPr>
          <w:b/>
          <w:sz w:val="28"/>
          <w:szCs w:val="28"/>
        </w:rPr>
        <w:t>Ткачук А.Н.</w:t>
      </w:r>
      <w:bookmarkEnd w:id="0"/>
      <w:r>
        <w:rPr>
          <w:b/>
          <w:sz w:val="28"/>
          <w:szCs w:val="28"/>
        </w:rPr>
        <w:t xml:space="preserve"> ст. преподаватель</w:t>
      </w:r>
    </w:p>
    <w:p w:rsidR="00B34B77" w:rsidRDefault="00B34B77" w:rsidP="00B34B77">
      <w:pPr>
        <w:rPr>
          <w:i/>
          <w:sz w:val="28"/>
          <w:szCs w:val="28"/>
        </w:rPr>
      </w:pPr>
      <w:r w:rsidRPr="00937AC1">
        <w:rPr>
          <w:i/>
          <w:sz w:val="28"/>
          <w:szCs w:val="28"/>
        </w:rPr>
        <w:t>(Донецкий национальный технический университет, г. Донецк, Украина)</w:t>
      </w:r>
    </w:p>
    <w:p w:rsidR="00B34B77" w:rsidRPr="00937AC1" w:rsidRDefault="00B34B77" w:rsidP="00B34B77">
      <w:pPr>
        <w:jc w:val="center"/>
        <w:rPr>
          <w:b/>
          <w:i/>
          <w:caps/>
          <w:sz w:val="28"/>
          <w:szCs w:val="28"/>
        </w:rPr>
      </w:pPr>
      <w:r w:rsidRPr="00937AC1">
        <w:rPr>
          <w:i/>
          <w:sz w:val="28"/>
          <w:szCs w:val="28"/>
        </w:rPr>
        <w:t xml:space="preserve"> </w:t>
      </w:r>
    </w:p>
    <w:p w:rsidR="00B34B77" w:rsidRPr="0094199F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отказов приводных электродвигателей горных машин показал, что в настоящее время участились случаи аварий, приводящих весь электродвиг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в неремонтопригодное состояние, а именно выплавление обмотки 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ра.</w:t>
      </w:r>
      <w:r w:rsidRPr="0094199F">
        <w:rPr>
          <w:sz w:val="28"/>
          <w:szCs w:val="28"/>
        </w:rPr>
        <w:t>[1]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считается, что причиной этого отказа являются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условия эксплуатации, в частности, перегруз приводных электродвигат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 Однако частые появления этих отказов позволяют предположить, что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стоящее время существенно усложнились условия эксплуатации всего горно-шахтного оборудования и перегрузочной способности приводных электродв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гателей, в ряде случаев, становится недостаточно. Таким образом,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эксплуатация является лишь одной из причин появлений этих отказов.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ределение других обстоятельств работы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тродвигателей, приводящих к их выходу из строя, по-прежнему остается акт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задачей.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условий работы приводов, в настоящее время, не учитываю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физические свойства</w:t>
      </w:r>
      <w:r w:rsidRPr="00167D86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транспортируемых грузов. Хотя очевидно, что для конвей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ров, случайный характер насыпной плотности так же оказывает влияние на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равномерность нагрузки на валу приводного электродвигателя.  </w:t>
      </w:r>
    </w:p>
    <w:p w:rsidR="00B34B77" w:rsidRPr="00DC702B" w:rsidRDefault="00B34B77" w:rsidP="00B34B77">
      <w:pPr>
        <w:ind w:firstLine="567"/>
        <w:jc w:val="both"/>
        <w:rPr>
          <w:sz w:val="28"/>
          <w:szCs w:val="28"/>
        </w:rPr>
      </w:pPr>
      <w:r w:rsidRPr="00876738">
        <w:rPr>
          <w:sz w:val="28"/>
          <w:szCs w:val="28"/>
        </w:rPr>
        <w:t>В частности,  для  каменного угля, значение насыпной плотности д</w:t>
      </w:r>
      <w:r w:rsidRPr="00876738">
        <w:rPr>
          <w:sz w:val="28"/>
          <w:szCs w:val="28"/>
        </w:rPr>
        <w:t>а</w:t>
      </w:r>
      <w:r w:rsidRPr="00876738">
        <w:rPr>
          <w:sz w:val="28"/>
          <w:szCs w:val="28"/>
        </w:rPr>
        <w:t xml:space="preserve">ётся в  диапазоне </w:t>
      </w:r>
      <w:r w:rsidRPr="006B06A1"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hAnsi="Cambria Math"/>
            <w:szCs w:val="28"/>
          </w:rPr>
          <m:t>γ=0,65÷0,8</m:t>
        </m:r>
      </m:oMath>
      <w:r w:rsidRPr="006B06A1">
        <w:rPr>
          <w:sz w:val="28"/>
          <w:szCs w:val="28"/>
        </w:rPr>
        <w:t>)</w:t>
      </w:r>
      <w:r w:rsidRPr="00876738">
        <w:rPr>
          <w:w w:val="150"/>
          <w:sz w:val="28"/>
          <w:szCs w:val="28"/>
        </w:rPr>
        <w:t xml:space="preserve"> </w:t>
      </w:r>
      <w:r w:rsidRPr="00876738">
        <w:rPr>
          <w:sz w:val="28"/>
          <w:szCs w:val="28"/>
        </w:rPr>
        <w:t>т/м</w:t>
      </w:r>
      <w:r w:rsidRPr="00876738">
        <w:rPr>
          <w:sz w:val="28"/>
          <w:szCs w:val="28"/>
          <w:vertAlign w:val="superscript"/>
        </w:rPr>
        <w:t>3</w:t>
      </w:r>
      <w:r w:rsidRPr="008767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702B">
        <w:rPr>
          <w:sz w:val="28"/>
          <w:szCs w:val="28"/>
        </w:rPr>
        <w:t xml:space="preserve">При этом, согласно методики расчета конвейеров </w:t>
      </w:r>
      <w:r w:rsidRPr="00B8122E">
        <w:rPr>
          <w:sz w:val="28"/>
          <w:szCs w:val="28"/>
        </w:rPr>
        <w:t>[</w:t>
      </w:r>
      <w:r w:rsidRPr="0094199F">
        <w:rPr>
          <w:sz w:val="28"/>
          <w:szCs w:val="28"/>
        </w:rPr>
        <w:t>4</w:t>
      </w:r>
      <w:r w:rsidRPr="00B8122E">
        <w:rPr>
          <w:sz w:val="28"/>
          <w:szCs w:val="28"/>
        </w:rPr>
        <w:t>]</w:t>
      </w:r>
      <w:r w:rsidRPr="00DC702B">
        <w:rPr>
          <w:sz w:val="28"/>
          <w:szCs w:val="28"/>
        </w:rPr>
        <w:t>, погонная масса каменного угля также будет колебаться в ди</w:t>
      </w:r>
      <w:r w:rsidRPr="00DC702B">
        <w:rPr>
          <w:sz w:val="28"/>
          <w:szCs w:val="28"/>
        </w:rPr>
        <w:t>а</w:t>
      </w:r>
      <w:r w:rsidRPr="00DC702B">
        <w:rPr>
          <w:sz w:val="28"/>
          <w:szCs w:val="28"/>
        </w:rPr>
        <w:t>пазоне</w:t>
      </w:r>
      <w:r>
        <w:rPr>
          <w:sz w:val="28"/>
          <w:szCs w:val="28"/>
        </w:rPr>
        <w:t>:</w:t>
      </w:r>
    </w:p>
    <w:p w:rsidR="00B34B77" w:rsidRPr="00DC702B" w:rsidRDefault="00B34B77" w:rsidP="00B34B77">
      <w:pPr>
        <w:ind w:firstLine="567"/>
        <w:jc w:val="center"/>
        <w:rPr>
          <w:sz w:val="28"/>
          <w:szCs w:val="28"/>
        </w:rPr>
      </w:pPr>
      <w:r w:rsidRPr="00DC702B">
        <w:rPr>
          <w:sz w:val="28"/>
          <w:szCs w:val="28"/>
        </w:rPr>
        <w:object w:dxaOrig="2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.75pt" o:ole="">
            <v:imagedata r:id="rId6" o:title=""/>
          </v:shape>
          <o:OLEObject Type="Embed" ProgID="Equation.DSMT4" ShapeID="_x0000_i1025" DrawAspect="Content" ObjectID="_1400006278" r:id="rId7"/>
        </w:object>
      </w:r>
    </w:p>
    <w:p w:rsidR="00B34B77" w:rsidRPr="00DC702B" w:rsidRDefault="00B34B77" w:rsidP="00B34B77">
      <w:pPr>
        <w:ind w:firstLine="567"/>
        <w:jc w:val="both"/>
        <w:rPr>
          <w:sz w:val="28"/>
          <w:szCs w:val="28"/>
        </w:rPr>
      </w:pPr>
      <w:r w:rsidRPr="00DC702B">
        <w:rPr>
          <w:sz w:val="28"/>
          <w:szCs w:val="28"/>
        </w:rPr>
        <w:t>где</w:t>
      </w:r>
      <w:r w:rsidRPr="00DC702B">
        <w:rPr>
          <w:sz w:val="28"/>
          <w:szCs w:val="28"/>
        </w:rPr>
        <w:object w:dxaOrig="260" w:dyaOrig="260">
          <v:shape id="_x0000_i1026" type="#_x0000_t75" style="width:12.75pt;height:12.75pt" o:ole="">
            <v:imagedata r:id="rId8" o:title=""/>
          </v:shape>
          <o:OLEObject Type="Embed" ProgID="Equation.DSMT4" ShapeID="_x0000_i1026" DrawAspect="Content" ObjectID="_1400006279" r:id="rId9"/>
        </w:object>
      </w:r>
      <w:r w:rsidRPr="00DC702B">
        <w:rPr>
          <w:sz w:val="28"/>
          <w:szCs w:val="28"/>
        </w:rPr>
        <w:t xml:space="preserve">- площадь поперечного сечения струи материала; </w:t>
      </w:r>
      <w:r w:rsidRPr="00DC702B">
        <w:rPr>
          <w:sz w:val="28"/>
          <w:szCs w:val="28"/>
        </w:rPr>
        <w:object w:dxaOrig="320" w:dyaOrig="320">
          <v:shape id="_x0000_i1027" type="#_x0000_t75" style="width:16.5pt;height:16.5pt" o:ole="">
            <v:imagedata r:id="rId10" o:title=""/>
          </v:shape>
          <o:OLEObject Type="Embed" ProgID="Equation.DSMT4" ShapeID="_x0000_i1027" DrawAspect="Content" ObjectID="_1400006280" r:id="rId11"/>
        </w:objec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 </w:t>
      </w:r>
      <w:r w:rsidRPr="00DC702B">
        <w:rPr>
          <w:sz w:val="28"/>
          <w:szCs w:val="28"/>
        </w:rPr>
        <w:t>расхождени</w:t>
      </w:r>
      <w:r>
        <w:rPr>
          <w:sz w:val="28"/>
          <w:szCs w:val="28"/>
        </w:rPr>
        <w:t>я</w:t>
      </w:r>
      <w:r w:rsidRPr="00DC702B">
        <w:rPr>
          <w:sz w:val="28"/>
          <w:szCs w:val="28"/>
        </w:rPr>
        <w:t xml:space="preserve"> мгновенных</w:t>
      </w:r>
      <w:r>
        <w:rPr>
          <w:sz w:val="28"/>
          <w:szCs w:val="28"/>
        </w:rPr>
        <w:t xml:space="preserve"> значений массы угля на ленте:</w:t>
      </w:r>
    </w:p>
    <w:p w:rsidR="00B34B77" w:rsidRPr="00B34B77" w:rsidRDefault="00B34B77" w:rsidP="00B34B77">
      <w:pPr>
        <w:ind w:firstLine="567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мгн.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=∆γ∙F∙L, т</m:t>
          </m:r>
        </m:oMath>
      </m:oMathPara>
    </w:p>
    <w:p w:rsidR="00B34B77" w:rsidRPr="00DC702B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C702B">
        <w:rPr>
          <w:sz w:val="28"/>
          <w:szCs w:val="28"/>
        </w:rPr>
        <w:t xml:space="preserve">де </w:t>
      </w:r>
      <w:r w:rsidRPr="00DC702B">
        <w:rPr>
          <w:sz w:val="28"/>
          <w:szCs w:val="28"/>
          <w:lang w:val="en-US"/>
        </w:rPr>
        <w:t>L</w:t>
      </w:r>
      <w:r w:rsidRPr="00DC702B">
        <w:rPr>
          <w:sz w:val="28"/>
          <w:szCs w:val="28"/>
        </w:rPr>
        <w:t>- длина конвейера, м.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 w:rsidRPr="00DC702B">
        <w:rPr>
          <w:sz w:val="28"/>
          <w:szCs w:val="28"/>
        </w:rPr>
        <w:t>Очевидно, что  величина диапазона для выбора насыпной плотности с увеличением длины конвейера может привести</w:t>
      </w:r>
      <w:r>
        <w:rPr>
          <w:sz w:val="28"/>
          <w:szCs w:val="28"/>
        </w:rPr>
        <w:t xml:space="preserve"> к существенным</w:t>
      </w:r>
      <w:r w:rsidRPr="00DC702B">
        <w:rPr>
          <w:sz w:val="28"/>
          <w:szCs w:val="28"/>
        </w:rPr>
        <w:t xml:space="preserve">  расхо</w:t>
      </w:r>
      <w:r w:rsidRPr="00DC702B">
        <w:rPr>
          <w:sz w:val="28"/>
          <w:szCs w:val="28"/>
        </w:rPr>
        <w:t>ж</w:t>
      </w:r>
      <w:r w:rsidRPr="00DC702B">
        <w:rPr>
          <w:sz w:val="28"/>
          <w:szCs w:val="28"/>
        </w:rPr>
        <w:t>дениям в значениях расчётных параметров ленточного конвейера.</w:t>
      </w:r>
      <w:r>
        <w:rPr>
          <w:sz w:val="28"/>
          <w:szCs w:val="28"/>
        </w:rPr>
        <w:t xml:space="preserve"> </w:t>
      </w:r>
      <w:r w:rsidRPr="00DC702B">
        <w:rPr>
          <w:sz w:val="28"/>
          <w:szCs w:val="28"/>
        </w:rPr>
        <w:t>Учитывая, что в н</w:t>
      </w:r>
      <w:r w:rsidRPr="00DC702B">
        <w:rPr>
          <w:sz w:val="28"/>
          <w:szCs w:val="28"/>
        </w:rPr>
        <w:t>а</w:t>
      </w:r>
      <w:r w:rsidRPr="00DC702B">
        <w:rPr>
          <w:sz w:val="28"/>
          <w:szCs w:val="28"/>
        </w:rPr>
        <w:t>стоящее время наметилась тенденция к увеличению длины транспортирования и грузопотоков, вопрос уточнения величины насыпной плотности является а</w:t>
      </w:r>
      <w:r w:rsidRPr="00DC702B">
        <w:rPr>
          <w:sz w:val="28"/>
          <w:szCs w:val="28"/>
        </w:rPr>
        <w:t>к</w:t>
      </w:r>
      <w:r w:rsidRPr="00DC702B">
        <w:rPr>
          <w:sz w:val="28"/>
          <w:szCs w:val="28"/>
        </w:rPr>
        <w:t>туальным.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насыпная плотность:</w:t>
      </w:r>
    </w:p>
    <w:p w:rsidR="00B34B77" w:rsidRPr="00B34B77" w:rsidRDefault="00B34B77" w:rsidP="00B34B77">
      <w:pPr>
        <w:ind w:firstLine="567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γ=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∙ρ</m:t>
          </m:r>
        </m:oMath>
      </m:oMathPara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>
        <w:rPr>
          <w:sz w:val="28"/>
          <w:szCs w:val="28"/>
        </w:rPr>
        <w:t xml:space="preserve"> – коэффициент разрыхления;</w:t>
      </w:r>
    </w:p>
    <w:p w:rsidR="00B34B77" w:rsidRPr="00BE29AD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>
        <w:rPr>
          <w:sz w:val="28"/>
          <w:szCs w:val="28"/>
        </w:rPr>
        <w:t xml:space="preserve">  – плотность в целике, </w:t>
      </w:r>
      <w:r w:rsidRPr="00876738">
        <w:rPr>
          <w:sz w:val="28"/>
          <w:szCs w:val="28"/>
        </w:rPr>
        <w:t>т/м</w:t>
      </w:r>
      <w:r w:rsidRPr="0087673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 w:rsidRPr="008F57A8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исследования показали, что коэффициент разрыхления свободно насыпанного груза является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цией размеров его частиц </w:t>
      </w:r>
      <w:r w:rsidRPr="0079035E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9035E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B34B77" w:rsidRPr="00B34B77" w:rsidRDefault="00B34B77" w:rsidP="00B34B77">
      <w:pPr>
        <w:ind w:firstLine="567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=f(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14116B">
        <w:rPr>
          <w:b/>
          <w:sz w:val="28"/>
          <w:szCs w:val="28"/>
          <w:lang w:val="en-US"/>
        </w:rPr>
        <w:t>A</w:t>
      </w:r>
      <w:r w:rsidRPr="0014116B">
        <w:rPr>
          <w:b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Pr="0014116B">
        <w:rPr>
          <w:sz w:val="28"/>
          <w:szCs w:val="28"/>
        </w:rPr>
        <w:t xml:space="preserve">– </w:t>
      </w:r>
      <w:r>
        <w:rPr>
          <w:sz w:val="28"/>
          <w:szCs w:val="28"/>
        </w:rPr>
        <w:t>размер частиц насыпного груза.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настоящее время, количественной оценки влияния размера частиц на коэффициент разрыхления транспортируемого груза не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дилось.  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Для решения этого вопроса была построена модель</w:t>
      </w:r>
      <w:r>
        <w:rPr>
          <w:sz w:val="28"/>
          <w:szCs w:val="28"/>
        </w:rPr>
        <w:t xml:space="preserve"> «идеального»</w:t>
      </w:r>
      <w:r w:rsidRPr="00876738">
        <w:rPr>
          <w:sz w:val="28"/>
          <w:szCs w:val="28"/>
        </w:rPr>
        <w:t xml:space="preserve"> </w:t>
      </w:r>
      <w:r w:rsidRPr="0059575E">
        <w:rPr>
          <w:sz w:val="28"/>
          <w:szCs w:val="28"/>
        </w:rPr>
        <w:t xml:space="preserve"> насы</w:t>
      </w:r>
      <w:r w:rsidRPr="0059575E">
        <w:rPr>
          <w:sz w:val="28"/>
          <w:szCs w:val="28"/>
        </w:rPr>
        <w:t>п</w:t>
      </w:r>
      <w:r w:rsidRPr="0059575E">
        <w:rPr>
          <w:sz w:val="28"/>
          <w:szCs w:val="28"/>
        </w:rPr>
        <w:t>ного груза на ленте. При построении данной модели приняты следующие д</w:t>
      </w:r>
      <w:r w:rsidRPr="0059575E">
        <w:rPr>
          <w:sz w:val="28"/>
          <w:szCs w:val="28"/>
        </w:rPr>
        <w:t>о</w:t>
      </w:r>
      <w:r w:rsidRPr="0059575E">
        <w:rPr>
          <w:sz w:val="28"/>
          <w:szCs w:val="28"/>
        </w:rPr>
        <w:t xml:space="preserve">пущения: </w:t>
      </w:r>
    </w:p>
    <w:p w:rsidR="00B34B77" w:rsidRPr="0059575E" w:rsidRDefault="00B34B77" w:rsidP="00B34B77">
      <w:pPr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Известно, что форма верхней части насыпного груза имеет вид, бли</w:t>
      </w:r>
      <w:r w:rsidRPr="0059575E">
        <w:rPr>
          <w:sz w:val="28"/>
          <w:szCs w:val="28"/>
        </w:rPr>
        <w:t>з</w:t>
      </w:r>
      <w:r w:rsidRPr="0059575E">
        <w:rPr>
          <w:sz w:val="28"/>
          <w:szCs w:val="28"/>
        </w:rPr>
        <w:t>кий к параболическому сегменту. Однако, для удобства расчетов производ</w:t>
      </w:r>
      <w:r w:rsidRPr="0059575E">
        <w:rPr>
          <w:sz w:val="28"/>
          <w:szCs w:val="28"/>
        </w:rPr>
        <w:t>и</w:t>
      </w:r>
      <w:r w:rsidRPr="0059575E">
        <w:rPr>
          <w:sz w:val="28"/>
          <w:szCs w:val="28"/>
        </w:rPr>
        <w:t>тельности параболический сегмент заменяется треугольником.</w:t>
      </w:r>
      <w:r w:rsidRPr="004944A8">
        <w:rPr>
          <w:sz w:val="28"/>
          <w:szCs w:val="28"/>
        </w:rPr>
        <w:t xml:space="preserve"> </w:t>
      </w:r>
      <w:r w:rsidRPr="0094199F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94199F">
        <w:rPr>
          <w:sz w:val="28"/>
          <w:szCs w:val="28"/>
        </w:rPr>
        <w:t>]</w:t>
      </w:r>
      <w:r w:rsidRPr="0059575E">
        <w:rPr>
          <w:sz w:val="28"/>
          <w:szCs w:val="28"/>
        </w:rPr>
        <w:t xml:space="preserve"> Поэт</w:t>
      </w:r>
      <w:r w:rsidRPr="0059575E">
        <w:rPr>
          <w:sz w:val="28"/>
          <w:szCs w:val="28"/>
        </w:rPr>
        <w:t>о</w:t>
      </w:r>
      <w:r w:rsidRPr="0059575E">
        <w:rPr>
          <w:sz w:val="28"/>
          <w:szCs w:val="28"/>
        </w:rPr>
        <w:t>му, в данной модели также принимаем треугольную форму груза на ле</w:t>
      </w:r>
      <w:r w:rsidRPr="0059575E">
        <w:rPr>
          <w:sz w:val="28"/>
          <w:szCs w:val="28"/>
        </w:rPr>
        <w:t>н</w:t>
      </w:r>
      <w:r w:rsidRPr="0059575E">
        <w:rPr>
          <w:sz w:val="28"/>
          <w:szCs w:val="28"/>
        </w:rPr>
        <w:t>те.</w:t>
      </w:r>
    </w:p>
    <w:p w:rsidR="00B34B77" w:rsidRPr="0059575E" w:rsidRDefault="00B34B77" w:rsidP="00B34B77">
      <w:pPr>
        <w:numPr>
          <w:ilvl w:val="0"/>
          <w:numId w:val="17"/>
        </w:numPr>
        <w:ind w:left="709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В настоящее время при проверке ленты по кусковатости считают, что груз имеет форму эллипса. В результате вибраций конвейера груз заним</w:t>
      </w:r>
      <w:r w:rsidRPr="0059575E">
        <w:rPr>
          <w:sz w:val="28"/>
          <w:szCs w:val="28"/>
        </w:rPr>
        <w:t>а</w:t>
      </w:r>
      <w:r w:rsidRPr="0059575E">
        <w:rPr>
          <w:sz w:val="28"/>
          <w:szCs w:val="28"/>
        </w:rPr>
        <w:t>ет горизонтальное положение, как наиболее устойчивое.</w:t>
      </w:r>
      <w:r w:rsidRPr="00133775">
        <w:rPr>
          <w:sz w:val="28"/>
          <w:szCs w:val="28"/>
        </w:rPr>
        <w:t xml:space="preserve"> </w:t>
      </w:r>
      <w:r w:rsidRPr="0094199F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94199F">
        <w:rPr>
          <w:sz w:val="28"/>
          <w:szCs w:val="28"/>
        </w:rPr>
        <w:t>]</w:t>
      </w:r>
      <w:r w:rsidRPr="0059575E">
        <w:rPr>
          <w:sz w:val="28"/>
          <w:szCs w:val="28"/>
        </w:rPr>
        <w:t xml:space="preserve"> Таким обр</w:t>
      </w:r>
      <w:r w:rsidRPr="0059575E">
        <w:rPr>
          <w:sz w:val="28"/>
          <w:szCs w:val="28"/>
        </w:rPr>
        <w:t>а</w:t>
      </w:r>
      <w:r w:rsidRPr="0059575E">
        <w:rPr>
          <w:sz w:val="28"/>
          <w:szCs w:val="28"/>
        </w:rPr>
        <w:t>зом, достаточно оснований принять, что максимальная частица груза имеет форму эллипса, который лежит на ленте горизонтально.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Поэтому, поперечное сечение груза на ленте можно представить в виде равнобокого треугольника с вписанными эллипсами одинакового размера.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Используя преобразование пространства поворотом плоскости вокруг оси, проходящей через основание треугольника, получим равносторонний треугол</w:t>
      </w:r>
      <w:r w:rsidRPr="0059575E">
        <w:rPr>
          <w:sz w:val="28"/>
          <w:szCs w:val="28"/>
        </w:rPr>
        <w:t>ь</w:t>
      </w:r>
      <w:r w:rsidRPr="0059575E">
        <w:rPr>
          <w:sz w:val="28"/>
          <w:szCs w:val="28"/>
        </w:rPr>
        <w:t>ник с вписанными окружностями. При этом, как известно, отношения площ</w:t>
      </w:r>
      <w:r w:rsidRPr="0059575E">
        <w:rPr>
          <w:sz w:val="28"/>
          <w:szCs w:val="28"/>
        </w:rPr>
        <w:t>а</w:t>
      </w:r>
      <w:r w:rsidRPr="0059575E">
        <w:rPr>
          <w:sz w:val="28"/>
          <w:szCs w:val="28"/>
        </w:rPr>
        <w:t>дей фигур сохраняются.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Путем геометрических расчетов площадей получаем:</w:t>
      </w:r>
    </w:p>
    <w:p w:rsidR="00B34B77" w:rsidRDefault="00B34B77" w:rsidP="00B34B77">
      <w:pPr>
        <w:ind w:firstLine="567"/>
        <w:jc w:val="center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p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+n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+1.46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n+0.73</m:t>
            </m:r>
          </m:den>
        </m:f>
      </m:oMath>
      <w:r w:rsidRPr="0059575E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Pr="0059575E">
        <w:rPr>
          <w:sz w:val="28"/>
          <w:szCs w:val="28"/>
          <w:lang w:val="uk-UA"/>
        </w:rPr>
        <w:t>(1)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p</m:t>
            </m:r>
          </m:sub>
        </m:sSub>
      </m:oMath>
      <w:r w:rsidRPr="0059575E">
        <w:rPr>
          <w:sz w:val="28"/>
          <w:szCs w:val="28"/>
        </w:rPr>
        <w:t>– коэффициент разрыхл</w:t>
      </w:r>
      <w:r w:rsidRPr="0059575E">
        <w:rPr>
          <w:sz w:val="28"/>
          <w:szCs w:val="28"/>
        </w:rPr>
        <w:t>е</w:t>
      </w:r>
      <w:r w:rsidRPr="0059575E">
        <w:rPr>
          <w:sz w:val="28"/>
          <w:szCs w:val="28"/>
        </w:rPr>
        <w:t>ния;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n=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0.8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r</m:t>
            </m:r>
          </m:den>
        </m:f>
      </m:oMath>
      <w:r w:rsidRPr="0059575E">
        <w:rPr>
          <w:sz w:val="28"/>
          <w:szCs w:val="28"/>
        </w:rPr>
        <w:t xml:space="preserve"> – количество вписанных окружностей, расположенных пара</w:t>
      </w:r>
      <w:r w:rsidRPr="0059575E">
        <w:rPr>
          <w:sz w:val="28"/>
          <w:szCs w:val="28"/>
        </w:rPr>
        <w:t>л</w:t>
      </w:r>
      <w:r w:rsidRPr="0059575E">
        <w:rPr>
          <w:sz w:val="28"/>
          <w:szCs w:val="28"/>
        </w:rPr>
        <w:t>лельно одной  сторон</w:t>
      </w:r>
      <w:r w:rsidRPr="0059575E">
        <w:rPr>
          <w:sz w:val="28"/>
          <w:szCs w:val="28"/>
          <w:lang w:val="uk-UA"/>
        </w:rPr>
        <w:t>е тр</w:t>
      </w:r>
      <w:r>
        <w:rPr>
          <w:sz w:val="28"/>
          <w:szCs w:val="28"/>
          <w:lang w:val="uk-UA"/>
        </w:rPr>
        <w:t>е</w:t>
      </w:r>
      <w:r w:rsidRPr="0059575E">
        <w:rPr>
          <w:sz w:val="28"/>
          <w:szCs w:val="28"/>
          <w:lang w:val="uk-UA"/>
        </w:rPr>
        <w:t>угольника</w:t>
      </w:r>
      <w:r w:rsidRPr="0059575E">
        <w:rPr>
          <w:sz w:val="28"/>
          <w:szCs w:val="28"/>
        </w:rPr>
        <w:t xml:space="preserve"> и имеющих (каждая) одну точку касания с этой стороной;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       </w:t>
      </w: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B</m:t>
        </m:r>
      </m:oMath>
      <w:r w:rsidRPr="0059575E">
        <w:rPr>
          <w:sz w:val="28"/>
          <w:szCs w:val="28"/>
        </w:rPr>
        <w:t xml:space="preserve"> – ширина ленты, м;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На практике чаще интересует зависимость от </w:t>
      </w:r>
      <w:r w:rsidRPr="0059575E">
        <w:rPr>
          <w:sz w:val="28"/>
          <w:szCs w:val="28"/>
          <w:lang w:val="en-US"/>
        </w:rPr>
        <w:t>r</w:t>
      </w:r>
      <w:r w:rsidRPr="0059575E">
        <w:rPr>
          <w:sz w:val="28"/>
          <w:szCs w:val="28"/>
        </w:rPr>
        <w:t>:</w:t>
      </w:r>
    </w:p>
    <w:p w:rsidR="00B34B77" w:rsidRDefault="00B34B77" w:rsidP="00B34B77">
      <w:pPr>
        <w:ind w:firstLine="567"/>
        <w:jc w:val="both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p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(r</m:t>
        </m:r>
        <m:r>
          <w:rPr>
            <w:rFonts w:ascii="Cambria Math"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0.64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+1.6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B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0.64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+2.34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B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r+2.92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59575E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Pr="0059575E">
        <w:rPr>
          <w:sz w:val="28"/>
          <w:szCs w:val="28"/>
          <w:lang w:val="uk-UA"/>
        </w:rPr>
        <w:t>(2)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>Коэффициент разрыхления для грузов с частицами разной фракции можно определить по формуле: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Kp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naryPr>
              <m:sub/>
              <m:sup/>
              <m:e/>
            </m:nary>
          </m:sub>
        </m:sSub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uk-UA"/>
                      </w:rPr>
                      <m:t>Kp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uk-UA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100</m:t>
            </m:r>
          </m:den>
        </m:f>
      </m:oMath>
      <w:r w:rsidRPr="0059575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где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Kp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b>
        </m:sSub>
      </m:oMath>
      <w:r w:rsidRPr="0059575E">
        <w:rPr>
          <w:sz w:val="28"/>
          <w:szCs w:val="28"/>
        </w:rPr>
        <w:t xml:space="preserve"> - коэффициент разрыхления, для частиц  одинаковой фракции, определяемый по формулам (1), (</w:t>
      </w:r>
      <w:r w:rsidRPr="0059575E">
        <w:rPr>
          <w:sz w:val="28"/>
          <w:szCs w:val="28"/>
          <w:lang w:val="uk-UA"/>
        </w:rPr>
        <w:t>2</w:t>
      </w:r>
      <w:r w:rsidRPr="0059575E">
        <w:rPr>
          <w:sz w:val="28"/>
          <w:szCs w:val="28"/>
        </w:rPr>
        <w:t>);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ab/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59575E">
        <w:rPr>
          <w:sz w:val="28"/>
          <w:szCs w:val="28"/>
        </w:rPr>
        <w:t xml:space="preserve">- процентное содержание фракции. </w:t>
      </w:r>
    </w:p>
    <w:p w:rsidR="00B34B77" w:rsidRPr="0059575E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                     </w:t>
      </w:r>
    </w:p>
    <w:p w:rsidR="00B34B77" w:rsidRDefault="00B34B77" w:rsidP="00B34B77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3190875"/>
            <wp:effectExtent l="0" t="0" r="9525" b="9525"/>
            <wp:docPr id="1156" name="Рисунок 1156" descr="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гра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77" w:rsidRPr="00876738" w:rsidRDefault="00B34B77" w:rsidP="00B34B77">
      <w:pPr>
        <w:ind w:firstLine="720"/>
        <w:jc w:val="center"/>
        <w:rPr>
          <w:sz w:val="28"/>
          <w:szCs w:val="28"/>
        </w:rPr>
      </w:pPr>
      <w:r w:rsidRPr="00876738">
        <w:rPr>
          <w:sz w:val="28"/>
          <w:szCs w:val="28"/>
        </w:rPr>
        <w:t>Рис</w:t>
      </w:r>
      <w:r>
        <w:rPr>
          <w:sz w:val="28"/>
          <w:szCs w:val="28"/>
        </w:rPr>
        <w:t>унок 1 -</w:t>
      </w:r>
      <w:r w:rsidRPr="00876738">
        <w:rPr>
          <w:sz w:val="28"/>
          <w:szCs w:val="28"/>
        </w:rPr>
        <w:t xml:space="preserve"> График зависимости </w:t>
      </w:r>
      <w:r w:rsidRPr="00876738">
        <w:rPr>
          <w:sz w:val="28"/>
          <w:szCs w:val="28"/>
        </w:rPr>
        <w:object w:dxaOrig="1080" w:dyaOrig="320">
          <v:shape id="_x0000_i1028" type="#_x0000_t75" style="width:55.5pt;height:16.5pt" o:ole="">
            <v:imagedata r:id="rId13" o:title=""/>
          </v:shape>
          <o:OLEObject Type="Embed" ProgID="Equation.DSMT4" ShapeID="_x0000_i1028" DrawAspect="Content" ObjectID="_1400006281" r:id="rId14"/>
        </w:object>
      </w:r>
      <w:r>
        <w:rPr>
          <w:sz w:val="28"/>
          <w:szCs w:val="28"/>
        </w:rPr>
        <w:t xml:space="preserve"> и </w:t>
      </w:r>
      <w:r w:rsidRPr="00876738">
        <w:rPr>
          <w:sz w:val="28"/>
          <w:szCs w:val="28"/>
        </w:rPr>
        <w:object w:dxaOrig="1080" w:dyaOrig="320">
          <v:shape id="_x0000_i1029" type="#_x0000_t75" style="width:55.5pt;height:16.5pt" o:ole="">
            <v:imagedata r:id="rId15" o:title=""/>
          </v:shape>
          <o:OLEObject Type="Embed" ProgID="Equation.DSMT4" ShapeID="_x0000_i1029" DrawAspect="Content" ObjectID="_1400006282" r:id="rId16"/>
        </w:object>
      </w:r>
      <w:r w:rsidRPr="00876738">
        <w:rPr>
          <w:sz w:val="28"/>
          <w:szCs w:val="28"/>
        </w:rPr>
        <w:t>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 w:rsidRPr="0059575E">
        <w:rPr>
          <w:sz w:val="28"/>
          <w:szCs w:val="28"/>
        </w:rPr>
        <w:t xml:space="preserve">Исследования теоретической модели показали, что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Kp</m:t>
        </m:r>
      </m:oMath>
      <w:r w:rsidRPr="0059575E">
        <w:rPr>
          <w:sz w:val="28"/>
          <w:szCs w:val="28"/>
        </w:rPr>
        <w:t xml:space="preserve"> полностью опред</w:t>
      </w:r>
      <w:r w:rsidRPr="0059575E">
        <w:rPr>
          <w:sz w:val="28"/>
          <w:szCs w:val="28"/>
        </w:rPr>
        <w:t>е</w:t>
      </w:r>
      <w:r w:rsidRPr="0059575E">
        <w:rPr>
          <w:sz w:val="28"/>
          <w:szCs w:val="28"/>
        </w:rPr>
        <w:t>ляется гранулометрическим составом груза и для любых насыпных грузов н</w:t>
      </w:r>
      <w:r w:rsidRPr="0059575E">
        <w:rPr>
          <w:sz w:val="28"/>
          <w:szCs w:val="28"/>
        </w:rPr>
        <w:t>а</w:t>
      </w:r>
      <w:r w:rsidRPr="0059575E">
        <w:rPr>
          <w:sz w:val="28"/>
          <w:szCs w:val="28"/>
        </w:rPr>
        <w:t xml:space="preserve">ходится в диапазоне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Kp</m:t>
        </m:r>
      </m:oMath>
      <w:r w:rsidRPr="0059575E">
        <w:rPr>
          <w:sz w:val="28"/>
          <w:szCs w:val="28"/>
        </w:rPr>
        <w:t xml:space="preserve"> = 0,5672–0,9064. То есть</w:t>
      </w:r>
      <w:r w:rsidRPr="0059575E">
        <w:rPr>
          <w:sz w:val="28"/>
          <w:szCs w:val="28"/>
          <w:lang w:val="uk-UA"/>
        </w:rPr>
        <w:t>,</w:t>
      </w:r>
      <w:r w:rsidRPr="0059575E">
        <w:rPr>
          <w:sz w:val="28"/>
          <w:szCs w:val="28"/>
        </w:rPr>
        <w:t xml:space="preserve"> получено однозначное соо</w:t>
      </w:r>
      <w:r w:rsidRPr="0059575E">
        <w:rPr>
          <w:sz w:val="28"/>
          <w:szCs w:val="28"/>
        </w:rPr>
        <w:t>т</w:t>
      </w:r>
      <w:r w:rsidRPr="0059575E">
        <w:rPr>
          <w:sz w:val="28"/>
          <w:szCs w:val="28"/>
        </w:rPr>
        <w:t xml:space="preserve">ветствие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Kp</m:t>
        </m:r>
      </m:oMath>
      <w:r w:rsidRPr="0059575E">
        <w:rPr>
          <w:sz w:val="28"/>
          <w:szCs w:val="28"/>
        </w:rPr>
        <w:t xml:space="preserve">  значени</w:t>
      </w:r>
      <w:r w:rsidRPr="0059575E">
        <w:rPr>
          <w:sz w:val="28"/>
          <w:szCs w:val="28"/>
          <w:lang w:val="uk-UA"/>
        </w:rPr>
        <w:t>ю</w:t>
      </w:r>
      <w:r w:rsidRPr="0059575E">
        <w:rPr>
          <w:sz w:val="28"/>
          <w:szCs w:val="28"/>
        </w:rPr>
        <w:t xml:space="preserve"> </w:t>
      </w:r>
      <w:r w:rsidRPr="0059575E">
        <w:rPr>
          <w:sz w:val="28"/>
          <w:szCs w:val="28"/>
          <w:lang w:val="en-US"/>
        </w:rPr>
        <w:t>n</w:t>
      </w:r>
      <w:r w:rsidRPr="0059575E">
        <w:rPr>
          <w:sz w:val="28"/>
          <w:szCs w:val="28"/>
        </w:rPr>
        <w:t xml:space="preserve"> и </w:t>
      </w:r>
      <w:r w:rsidRPr="0059575E">
        <w:rPr>
          <w:sz w:val="28"/>
          <w:szCs w:val="28"/>
          <w:lang w:val="en-US"/>
        </w:rPr>
        <w:t>r</w:t>
      </w:r>
      <w:r w:rsidRPr="005957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Разработанная методика расчета </w:t>
      </w:r>
      <w:r>
        <w:rPr>
          <w:i/>
          <w:sz w:val="28"/>
          <w:szCs w:val="28"/>
        </w:rPr>
        <w:t>Кр</w:t>
      </w:r>
      <w:r>
        <w:rPr>
          <w:sz w:val="28"/>
          <w:szCs w:val="28"/>
        </w:rPr>
        <w:t xml:space="preserve"> позволяет уточнить значение коэффициента разрыхления </w:t>
      </w:r>
      <w:r>
        <w:rPr>
          <w:i/>
          <w:sz w:val="28"/>
          <w:szCs w:val="28"/>
        </w:rPr>
        <w:t>Кр</w:t>
      </w:r>
      <w:r>
        <w:rPr>
          <w:sz w:val="28"/>
          <w:szCs w:val="28"/>
        </w:rPr>
        <w:t xml:space="preserve"> и насыпной плотности  транспортируемого груза γ</w:t>
      </w:r>
      <w:r>
        <w:rPr>
          <w:sz w:val="28"/>
          <w:szCs w:val="28"/>
          <w:vertAlign w:val="subscript"/>
        </w:rPr>
        <w:t>н.</w:t>
      </w:r>
      <w:r>
        <w:rPr>
          <w:sz w:val="28"/>
          <w:szCs w:val="28"/>
        </w:rPr>
        <w:t xml:space="preserve"> в зависимости  от его гранулометрического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ва.</w:t>
      </w:r>
    </w:p>
    <w:p w:rsidR="00B34B77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гранулометрического состава груза при расчете конвейера показал, что при увеличении длины транспортирования значительно увеличивается </w:t>
      </w:r>
      <w:r w:rsidRPr="005C2930">
        <w:rPr>
          <w:sz w:val="28"/>
          <w:szCs w:val="28"/>
        </w:rPr>
        <w:t>ди</w:t>
      </w:r>
      <w:r w:rsidRPr="005C2930">
        <w:rPr>
          <w:sz w:val="28"/>
          <w:szCs w:val="28"/>
        </w:rPr>
        <w:t>а</w:t>
      </w:r>
      <w:r w:rsidRPr="005C2930">
        <w:rPr>
          <w:sz w:val="28"/>
          <w:szCs w:val="28"/>
        </w:rPr>
        <w:t>пазон колебания потребной мощности приводного двигателя</w:t>
      </w:r>
      <w:r>
        <w:rPr>
          <w:sz w:val="28"/>
          <w:szCs w:val="28"/>
        </w:rPr>
        <w:t xml:space="preserve"> и принимаемого в настоящее время коэффициента запаса мощности может оказаться недостато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но. То есть при достижении критического значения </w:t>
      </w:r>
      <w:r w:rsidRPr="005C2930">
        <w:rPr>
          <w:sz w:val="28"/>
          <w:szCs w:val="28"/>
        </w:rPr>
        <w:t>длин</w:t>
      </w:r>
      <w:r>
        <w:rPr>
          <w:sz w:val="28"/>
          <w:szCs w:val="28"/>
        </w:rPr>
        <w:t>ы</w:t>
      </w:r>
      <w:r w:rsidRPr="005C2930">
        <w:rPr>
          <w:sz w:val="28"/>
          <w:szCs w:val="28"/>
        </w:rPr>
        <w:t xml:space="preserve"> конвейера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крит</w:t>
      </w:r>
      <w:r w:rsidRPr="005C2930">
        <w:rPr>
          <w:sz w:val="28"/>
          <w:szCs w:val="28"/>
        </w:rPr>
        <w:t>)</w:t>
      </w:r>
      <w:r>
        <w:rPr>
          <w:sz w:val="28"/>
          <w:szCs w:val="28"/>
        </w:rPr>
        <w:t xml:space="preserve"> возможна перегрузка его приводного электродв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гателя.</w:t>
      </w:r>
    </w:p>
    <w:p w:rsidR="00B34B77" w:rsidRPr="00B918FD" w:rsidRDefault="00B34B77" w:rsidP="00B34B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значения критической длины конвейера 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мого коэффициента запаса мощности приводного электродвигателя следует учит</w:t>
      </w:r>
      <w:r w:rsidRPr="00B918FD">
        <w:rPr>
          <w:sz w:val="28"/>
          <w:szCs w:val="28"/>
        </w:rPr>
        <w:t>ы</w:t>
      </w:r>
      <w:r w:rsidRPr="00B918FD">
        <w:rPr>
          <w:sz w:val="28"/>
          <w:szCs w:val="28"/>
        </w:rPr>
        <w:t>вать гранулометрический состав транспортируемого груза.</w:t>
      </w:r>
    </w:p>
    <w:p w:rsidR="00B34B77" w:rsidRPr="00B918FD" w:rsidRDefault="00B34B77" w:rsidP="00B34B77">
      <w:pPr>
        <w:ind w:firstLine="567"/>
        <w:jc w:val="both"/>
        <w:rPr>
          <w:sz w:val="28"/>
          <w:szCs w:val="28"/>
        </w:rPr>
      </w:pPr>
    </w:p>
    <w:p w:rsidR="00B34B77" w:rsidRPr="00B918FD" w:rsidRDefault="00B34B77" w:rsidP="00B34B77">
      <w:pPr>
        <w:ind w:firstLine="567"/>
        <w:jc w:val="center"/>
        <w:rPr>
          <w:sz w:val="28"/>
          <w:szCs w:val="28"/>
        </w:rPr>
      </w:pPr>
      <w:r w:rsidRPr="00B918FD">
        <w:rPr>
          <w:sz w:val="28"/>
          <w:szCs w:val="28"/>
        </w:rPr>
        <w:t>Перечень ссылок</w:t>
      </w:r>
    </w:p>
    <w:p w:rsidR="00B34B77" w:rsidRPr="00B918FD" w:rsidRDefault="00B34B77" w:rsidP="00B34B77">
      <w:pPr>
        <w:pStyle w:val="af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18FD">
        <w:rPr>
          <w:rFonts w:ascii="Times New Roman" w:hAnsi="Times New Roman"/>
          <w:sz w:val="28"/>
          <w:szCs w:val="28"/>
        </w:rPr>
        <w:t xml:space="preserve"> «Обоснование параметров автоматизированного электропривода ленто</w:t>
      </w:r>
      <w:r w:rsidRPr="00B918FD">
        <w:rPr>
          <w:rFonts w:ascii="Times New Roman" w:hAnsi="Times New Roman"/>
          <w:sz w:val="28"/>
          <w:szCs w:val="28"/>
        </w:rPr>
        <w:t>ч</w:t>
      </w:r>
      <w:r w:rsidRPr="00B918FD">
        <w:rPr>
          <w:rFonts w:ascii="Times New Roman" w:hAnsi="Times New Roman"/>
          <w:sz w:val="28"/>
          <w:szCs w:val="28"/>
        </w:rPr>
        <w:t xml:space="preserve">ного конвейера с учетом неравномерности его загрузки», Сборник научных трудов ДонНТУ. Факультет энергомеханики и автоматизации. </w:t>
      </w:r>
      <w:r w:rsidRPr="00B918FD">
        <w:rPr>
          <w:rFonts w:ascii="Times New Roman" w:hAnsi="Times New Roman"/>
          <w:sz w:val="28"/>
          <w:szCs w:val="28"/>
          <w:lang w:val="en-US"/>
        </w:rPr>
        <w:t>VII</w:t>
      </w:r>
      <w:r w:rsidRPr="00B918FD">
        <w:rPr>
          <w:rFonts w:ascii="Times New Roman" w:hAnsi="Times New Roman"/>
          <w:sz w:val="28"/>
          <w:szCs w:val="28"/>
        </w:rPr>
        <w:t xml:space="preserve"> Международная научно-техническая ко</w:t>
      </w:r>
      <w:r w:rsidRPr="00B918FD">
        <w:rPr>
          <w:rFonts w:ascii="Times New Roman" w:hAnsi="Times New Roman"/>
          <w:sz w:val="28"/>
          <w:szCs w:val="28"/>
        </w:rPr>
        <w:t>н</w:t>
      </w:r>
      <w:r w:rsidRPr="00B918FD">
        <w:rPr>
          <w:rFonts w:ascii="Times New Roman" w:hAnsi="Times New Roman"/>
          <w:sz w:val="28"/>
          <w:szCs w:val="28"/>
        </w:rPr>
        <w:t>ференция аспирантов и студентов,/ Челпанов А.С., Ткачук А.Н., - 2007г.</w:t>
      </w:r>
    </w:p>
    <w:p w:rsidR="00B34B77" w:rsidRPr="00B918FD" w:rsidRDefault="00B34B77" w:rsidP="00B34B77">
      <w:pPr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B918FD">
        <w:rPr>
          <w:sz w:val="28"/>
          <w:szCs w:val="28"/>
        </w:rPr>
        <w:t>«Вероятностные методы расчета транспортирующих машин»,/ Шахме</w:t>
      </w:r>
      <w:r w:rsidRPr="00B918FD">
        <w:rPr>
          <w:sz w:val="28"/>
          <w:szCs w:val="28"/>
        </w:rPr>
        <w:t>й</w:t>
      </w:r>
      <w:r w:rsidRPr="00B918FD">
        <w:rPr>
          <w:sz w:val="28"/>
          <w:szCs w:val="28"/>
        </w:rPr>
        <w:t xml:space="preserve">стер Л.Г., Дмитриев В.Г. - Москва, «Машиностроение», </w:t>
      </w:r>
      <w:smartTag w:uri="urn:schemas-microsoft-com:office:smarttags" w:element="metricconverter">
        <w:smartTagPr>
          <w:attr w:name="ProductID" w:val="1983 г"/>
        </w:smartTagPr>
        <w:r w:rsidRPr="00B918FD">
          <w:rPr>
            <w:sz w:val="28"/>
            <w:szCs w:val="28"/>
          </w:rPr>
          <w:t>1983 г</w:t>
        </w:r>
      </w:smartTag>
      <w:r w:rsidRPr="00B918FD">
        <w:rPr>
          <w:sz w:val="28"/>
          <w:szCs w:val="28"/>
        </w:rPr>
        <w:t>.</w:t>
      </w:r>
    </w:p>
    <w:p w:rsidR="00B34B77" w:rsidRPr="00B918FD" w:rsidRDefault="00B34B77" w:rsidP="00B34B77">
      <w:pPr>
        <w:pStyle w:val="afc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918FD">
        <w:rPr>
          <w:rFonts w:ascii="Times New Roman" w:hAnsi="Times New Roman"/>
          <w:sz w:val="28"/>
          <w:szCs w:val="28"/>
        </w:rPr>
        <w:t>«Теория и расчёт ленточных конвейеров»,/ Шахмейстер Л.Г., Дмитриев В.Г. - «Машиностроение», Москва, 1987г., 334с.</w:t>
      </w:r>
    </w:p>
    <w:p w:rsidR="00B34B77" w:rsidRDefault="00B34B77" w:rsidP="00B34B77">
      <w:pPr>
        <w:jc w:val="both"/>
        <w:rPr>
          <w:sz w:val="28"/>
          <w:szCs w:val="28"/>
        </w:rPr>
      </w:pPr>
      <w:r>
        <w:rPr>
          <w:sz w:val="28"/>
          <w:szCs w:val="28"/>
        </w:rPr>
        <w:t>УДК 622.232.72</w:t>
      </w:r>
    </w:p>
    <w:p w:rsidR="006B24A4" w:rsidRPr="00B34B77" w:rsidRDefault="006B24A4" w:rsidP="00B34B77"/>
    <w:sectPr w:rsidR="006B24A4" w:rsidRPr="00B34B77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34B7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06C7A" w:rsidRDefault="00B34B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7A" w:rsidRDefault="00B34B77" w:rsidP="0063091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B06C7A" w:rsidRDefault="00B34B77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3B"/>
    <w:multiLevelType w:val="hybridMultilevel"/>
    <w:tmpl w:val="9B7EDDA8"/>
    <w:lvl w:ilvl="0" w:tplc="21D8E2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452672"/>
    <w:multiLevelType w:val="hybridMultilevel"/>
    <w:tmpl w:val="CA0CAD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E8F0CE70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D10BE"/>
    <w:multiLevelType w:val="hybridMultilevel"/>
    <w:tmpl w:val="F36C3826"/>
    <w:lvl w:ilvl="0" w:tplc="E24E6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D20BA3"/>
    <w:multiLevelType w:val="hybridMultilevel"/>
    <w:tmpl w:val="2A2AD9B8"/>
    <w:lvl w:ilvl="0" w:tplc="3522B2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42E8B"/>
    <w:multiLevelType w:val="hybridMultilevel"/>
    <w:tmpl w:val="A1CEEDB2"/>
    <w:lvl w:ilvl="0" w:tplc="5DCCD1D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4F663D2"/>
    <w:multiLevelType w:val="multilevel"/>
    <w:tmpl w:val="8CF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326E6"/>
    <w:multiLevelType w:val="hybridMultilevel"/>
    <w:tmpl w:val="0C2A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3473B"/>
    <w:multiLevelType w:val="hybridMultilevel"/>
    <w:tmpl w:val="A62EA2E2"/>
    <w:lvl w:ilvl="0" w:tplc="9D625E4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FB397D"/>
    <w:multiLevelType w:val="hybridMultilevel"/>
    <w:tmpl w:val="3AC6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41637"/>
    <w:multiLevelType w:val="multilevel"/>
    <w:tmpl w:val="2990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72C542D"/>
    <w:multiLevelType w:val="hybridMultilevel"/>
    <w:tmpl w:val="14484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D67FDD"/>
    <w:multiLevelType w:val="hybridMultilevel"/>
    <w:tmpl w:val="808C003A"/>
    <w:lvl w:ilvl="0" w:tplc="61E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53459"/>
    <w:multiLevelType w:val="hybridMultilevel"/>
    <w:tmpl w:val="06C62F72"/>
    <w:lvl w:ilvl="0" w:tplc="09D2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6E3D1C"/>
    <w:multiLevelType w:val="hybridMultilevel"/>
    <w:tmpl w:val="758AC79E"/>
    <w:lvl w:ilvl="0" w:tplc="B9B286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B3DA3"/>
    <w:multiLevelType w:val="hybridMultilevel"/>
    <w:tmpl w:val="894CABBC"/>
    <w:lvl w:ilvl="0" w:tplc="C0A04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74B50"/>
    <w:multiLevelType w:val="hybridMultilevel"/>
    <w:tmpl w:val="47586AE2"/>
    <w:lvl w:ilvl="0" w:tplc="019284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817735"/>
    <w:multiLevelType w:val="hybridMultilevel"/>
    <w:tmpl w:val="3CD292A8"/>
    <w:lvl w:ilvl="0" w:tplc="799AA1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7C0478"/>
    <w:multiLevelType w:val="hybridMultilevel"/>
    <w:tmpl w:val="EDB6198C"/>
    <w:lvl w:ilvl="0" w:tplc="A1523FD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66121BA0">
      <w:start w:val="1"/>
      <w:numFmt w:val="bullet"/>
      <w:lvlText w:val=""/>
      <w:lvlJc w:val="left"/>
      <w:pPr>
        <w:tabs>
          <w:tab w:val="num" w:pos="1127"/>
        </w:tabs>
        <w:ind w:left="900" w:firstLine="0"/>
      </w:pPr>
      <w:rPr>
        <w:rFonts w:ascii="SymbolProp BT" w:hAnsi="SymbolProp B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9"/>
    <w:rsid w:val="000130F7"/>
    <w:rsid w:val="00063239"/>
    <w:rsid w:val="00067800"/>
    <w:rsid w:val="000E1217"/>
    <w:rsid w:val="00225523"/>
    <w:rsid w:val="00333700"/>
    <w:rsid w:val="003A5480"/>
    <w:rsid w:val="003E40D6"/>
    <w:rsid w:val="00432F49"/>
    <w:rsid w:val="00481219"/>
    <w:rsid w:val="0048411F"/>
    <w:rsid w:val="004C761D"/>
    <w:rsid w:val="0058014D"/>
    <w:rsid w:val="005916FD"/>
    <w:rsid w:val="005934B3"/>
    <w:rsid w:val="005B45F7"/>
    <w:rsid w:val="006B24A4"/>
    <w:rsid w:val="00775A36"/>
    <w:rsid w:val="00776873"/>
    <w:rsid w:val="009223B2"/>
    <w:rsid w:val="00993EE0"/>
    <w:rsid w:val="00A83856"/>
    <w:rsid w:val="00B34B77"/>
    <w:rsid w:val="00B41475"/>
    <w:rsid w:val="00B967C6"/>
    <w:rsid w:val="00BC72BE"/>
    <w:rsid w:val="00C26889"/>
    <w:rsid w:val="00C71F21"/>
    <w:rsid w:val="00CE0789"/>
    <w:rsid w:val="00CE1321"/>
    <w:rsid w:val="00CE1B07"/>
    <w:rsid w:val="00D522C0"/>
    <w:rsid w:val="00D665BA"/>
    <w:rsid w:val="00E6222B"/>
    <w:rsid w:val="00E76A19"/>
    <w:rsid w:val="00ED0EB6"/>
    <w:rsid w:val="00F16279"/>
    <w:rsid w:val="00F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40D6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E40D6"/>
    <w:pPr>
      <w:keepNext/>
      <w:jc w:val="center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678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E40D6"/>
    <w:pPr>
      <w:keepNext/>
      <w:ind w:left="425" w:right="425"/>
      <w:jc w:val="both"/>
      <w:outlineLvl w:val="5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0D6"/>
    <w:pPr>
      <w:keepNext/>
      <w:tabs>
        <w:tab w:val="left" w:pos="1980"/>
      </w:tabs>
      <w:ind w:right="-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grammtext">
    <w:name w:val="programm_text"/>
    <w:basedOn w:val="a0"/>
    <w:rsid w:val="00ED0EB6"/>
  </w:style>
  <w:style w:type="character" w:styleId="a3">
    <w:name w:val="Strong"/>
    <w:basedOn w:val="a0"/>
    <w:qFormat/>
    <w:rsid w:val="00ED0EB6"/>
    <w:rPr>
      <w:b/>
      <w:bCs/>
    </w:rPr>
  </w:style>
  <w:style w:type="paragraph" w:customStyle="1" w:styleId="a4">
    <w:name w:val="Текст методички"/>
    <w:basedOn w:val="a"/>
    <w:rsid w:val="00D665BA"/>
    <w:pPr>
      <w:widowControl w:val="0"/>
      <w:spacing w:line="312" w:lineRule="auto"/>
      <w:ind w:firstLine="720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D665BA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665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4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4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E40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40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4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E4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0D6"/>
    <w:rPr>
      <w:rFonts w:ascii="Times New Roman" w:eastAsia="Times New Roman" w:hAnsi="Times New Roman" w:cs="Times New Roman"/>
      <w:lang w:eastAsia="ru-RU"/>
    </w:rPr>
  </w:style>
  <w:style w:type="paragraph" w:styleId="23">
    <w:name w:val="Body Text 2"/>
    <w:basedOn w:val="a"/>
    <w:link w:val="24"/>
    <w:rsid w:val="003E40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40D6"/>
    <w:rPr>
      <w:rFonts w:ascii="Times New Roman" w:eastAsia="Times New Roman" w:hAnsi="Times New Roman" w:cs="Times New Roman"/>
      <w:lang w:eastAsia="ru-RU"/>
    </w:rPr>
  </w:style>
  <w:style w:type="paragraph" w:styleId="a9">
    <w:name w:val="caption"/>
    <w:basedOn w:val="a"/>
    <w:next w:val="a"/>
    <w:qFormat/>
    <w:rsid w:val="003E40D6"/>
    <w:pPr>
      <w:spacing w:line="360" w:lineRule="auto"/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E07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Текст диссертации Знак"/>
    <w:basedOn w:val="a"/>
    <w:link w:val="ab"/>
    <w:rsid w:val="00775A36"/>
    <w:pPr>
      <w:spacing w:line="360" w:lineRule="auto"/>
      <w:ind w:firstLine="709"/>
      <w:jc w:val="both"/>
    </w:pPr>
    <w:rPr>
      <w:kern w:val="28"/>
      <w:sz w:val="28"/>
      <w:lang w:val="en-US"/>
    </w:rPr>
  </w:style>
  <w:style w:type="character" w:customStyle="1" w:styleId="ab">
    <w:name w:val="Текст диссертации Знак Знак"/>
    <w:basedOn w:val="a0"/>
    <w:link w:val="aa"/>
    <w:rsid w:val="00775A36"/>
    <w:rPr>
      <w:rFonts w:ascii="Times New Roman" w:eastAsia="Times New Roman" w:hAnsi="Times New Roman" w:cs="Times New Roman"/>
      <w:kern w:val="28"/>
      <w:sz w:val="28"/>
      <w:lang w:val="en-US" w:eastAsia="ru-RU"/>
    </w:rPr>
  </w:style>
  <w:style w:type="paragraph" w:customStyle="1" w:styleId="ac">
    <w:name w:val="Пункт диссертации"/>
    <w:basedOn w:val="aa"/>
    <w:next w:val="aa"/>
    <w:rsid w:val="00775A36"/>
    <w:pPr>
      <w:keepNext/>
      <w:keepLines/>
      <w:spacing w:before="120" w:after="120"/>
      <w:ind w:left="1276" w:hanging="425"/>
    </w:pPr>
  </w:style>
  <w:style w:type="paragraph" w:customStyle="1" w:styleId="ad">
    <w:name w:val="Таблица диссертации"/>
    <w:basedOn w:val="a"/>
    <w:next w:val="a"/>
    <w:rsid w:val="00F27983"/>
    <w:pPr>
      <w:keepNext/>
      <w:keepLines/>
      <w:spacing w:before="120" w:line="360" w:lineRule="auto"/>
      <w:ind w:left="1701" w:hanging="1701"/>
      <w:jc w:val="both"/>
    </w:pPr>
    <w:rPr>
      <w:kern w:val="28"/>
      <w:sz w:val="28"/>
      <w:szCs w:val="20"/>
      <w:lang w:val="en-US"/>
    </w:rPr>
  </w:style>
  <w:style w:type="table" w:styleId="ae">
    <w:name w:val="Table Grid"/>
    <w:basedOn w:val="a1"/>
    <w:rsid w:val="00F2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диссертации"/>
    <w:basedOn w:val="a"/>
    <w:rsid w:val="005916FD"/>
    <w:pPr>
      <w:spacing w:line="360" w:lineRule="auto"/>
      <w:ind w:firstLine="709"/>
      <w:jc w:val="both"/>
    </w:pPr>
    <w:rPr>
      <w:kern w:val="28"/>
      <w:sz w:val="28"/>
      <w:szCs w:val="20"/>
      <w:lang w:val="en-US"/>
    </w:rPr>
  </w:style>
  <w:style w:type="paragraph" w:customStyle="1" w:styleId="1818">
    <w:name w:val="Стиль Пункт диссертации + Перед:  18 пт После:  18 пт"/>
    <w:basedOn w:val="a"/>
    <w:rsid w:val="005916FD"/>
    <w:pPr>
      <w:keepNext/>
      <w:keepLines/>
      <w:spacing w:before="360" w:after="360" w:line="360" w:lineRule="auto"/>
      <w:ind w:left="1276" w:hanging="425"/>
      <w:jc w:val="both"/>
    </w:pPr>
    <w:rPr>
      <w:kern w:val="28"/>
      <w:sz w:val="28"/>
      <w:szCs w:val="20"/>
      <w:lang w:val="en-US"/>
    </w:rPr>
  </w:style>
  <w:style w:type="paragraph" w:styleId="af0">
    <w:name w:val="footer"/>
    <w:basedOn w:val="a"/>
    <w:link w:val="af1"/>
    <w:rsid w:val="00C26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26889"/>
    <w:rPr>
      <w:rFonts w:ascii="Times New Roman" w:eastAsia="Times New Roman" w:hAnsi="Times New Roman" w:cs="Times New Roman"/>
      <w:lang w:eastAsia="ru-RU"/>
    </w:rPr>
  </w:style>
  <w:style w:type="character" w:styleId="af2">
    <w:name w:val="page number"/>
    <w:basedOn w:val="a0"/>
    <w:rsid w:val="00C26889"/>
  </w:style>
  <w:style w:type="paragraph" w:customStyle="1" w:styleId="af3">
    <w:name w:val="Формула диссертации"/>
    <w:basedOn w:val="af"/>
    <w:next w:val="af"/>
    <w:rsid w:val="00CE1321"/>
    <w:pPr>
      <w:tabs>
        <w:tab w:val="center" w:pos="4820"/>
        <w:tab w:val="right" w:pos="9639"/>
      </w:tabs>
      <w:spacing w:before="60" w:after="60"/>
      <w:ind w:firstLine="0"/>
      <w:jc w:val="left"/>
    </w:pPr>
  </w:style>
  <w:style w:type="paragraph" w:customStyle="1" w:styleId="af4">
    <w:name w:val="Текст без отступа"/>
    <w:basedOn w:val="af"/>
    <w:rsid w:val="00B967C6"/>
    <w:pPr>
      <w:ind w:firstLine="0"/>
    </w:pPr>
  </w:style>
  <w:style w:type="paragraph" w:customStyle="1" w:styleId="af5">
    <w:name w:val="Текст рисунка"/>
    <w:basedOn w:val="a"/>
    <w:rsid w:val="00B967C6"/>
    <w:pPr>
      <w:spacing w:line="288" w:lineRule="auto"/>
      <w:jc w:val="both"/>
    </w:pPr>
    <w:rPr>
      <w:kern w:val="28"/>
      <w:sz w:val="28"/>
      <w:szCs w:val="20"/>
    </w:rPr>
  </w:style>
  <w:style w:type="paragraph" w:styleId="af6">
    <w:name w:val="Block Text"/>
    <w:basedOn w:val="a"/>
    <w:rsid w:val="00B967C6"/>
    <w:pPr>
      <w:ind w:left="113" w:right="113"/>
    </w:pPr>
    <w:rPr>
      <w:sz w:val="24"/>
      <w:szCs w:val="24"/>
    </w:rPr>
  </w:style>
  <w:style w:type="paragraph" w:customStyle="1" w:styleId="Normal">
    <w:name w:val="Normal"/>
    <w:rsid w:val="009223B2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af7">
    <w:name w:val="Normal (Web)"/>
    <w:basedOn w:val="a"/>
    <w:rsid w:val="009223B2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f8">
    <w:name w:val="Body Text Indent"/>
    <w:basedOn w:val="a"/>
    <w:link w:val="af9"/>
    <w:uiPriority w:val="99"/>
    <w:unhideWhenUsed/>
    <w:rsid w:val="005934B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934B3"/>
    <w:rPr>
      <w:rFonts w:ascii="Times New Roman" w:eastAsia="Times New Roman" w:hAnsi="Times New Roman" w:cs="Times New Roman"/>
      <w:lang w:eastAsia="ru-RU"/>
    </w:rPr>
  </w:style>
  <w:style w:type="paragraph" w:styleId="afa">
    <w:name w:val="Title"/>
    <w:aliases w:val=" Знак"/>
    <w:basedOn w:val="a"/>
    <w:link w:val="afb"/>
    <w:qFormat/>
    <w:rsid w:val="005934B3"/>
    <w:pPr>
      <w:jc w:val="center"/>
    </w:pPr>
    <w:rPr>
      <w:sz w:val="28"/>
    </w:rPr>
  </w:style>
  <w:style w:type="character" w:customStyle="1" w:styleId="afb">
    <w:name w:val="Название Знак"/>
    <w:aliases w:val=" Знак Знак"/>
    <w:basedOn w:val="a0"/>
    <w:link w:val="afa"/>
    <w:rsid w:val="005934B3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List Paragraph"/>
    <w:basedOn w:val="a"/>
    <w:qFormat/>
    <w:rsid w:val="005934B3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50">
    <w:name w:val="Заголовок 5 Знак"/>
    <w:basedOn w:val="a0"/>
    <w:link w:val="5"/>
    <w:rsid w:val="000678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ccented">
    <w:name w:val="accented"/>
    <w:basedOn w:val="a0"/>
    <w:rsid w:val="000130F7"/>
  </w:style>
  <w:style w:type="paragraph" w:styleId="31">
    <w:name w:val="Body Text Indent 3"/>
    <w:basedOn w:val="a"/>
    <w:link w:val="32"/>
    <w:rsid w:val="004C76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7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4C761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C76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header"/>
    <w:basedOn w:val="a"/>
    <w:link w:val="aff0"/>
    <w:rsid w:val="00063239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06323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Битюцкий</dc:creator>
  <cp:lastModifiedBy>Андрей Битюцкий</cp:lastModifiedBy>
  <cp:revision>2</cp:revision>
  <dcterms:created xsi:type="dcterms:W3CDTF">2012-05-31T18:49:00Z</dcterms:created>
  <dcterms:modified xsi:type="dcterms:W3CDTF">2012-05-31T18:49:00Z</dcterms:modified>
</cp:coreProperties>
</file>