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1D" w:rsidRPr="0067651D" w:rsidRDefault="0067651D" w:rsidP="0067651D">
      <w:pPr>
        <w:autoSpaceDE w:val="0"/>
        <w:autoSpaceDN w:val="0"/>
        <w:adjustRightInd w:val="0"/>
        <w:spacing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67651D">
        <w:rPr>
          <w:rFonts w:ascii="Times New Roman" w:hAnsi="Times New Roman"/>
          <w:sz w:val="28"/>
          <w:szCs w:val="28"/>
          <w:lang w:val="uk-UA"/>
        </w:rPr>
        <w:t>УДК 331.522</w:t>
      </w:r>
    </w:p>
    <w:p w:rsidR="0067651D" w:rsidRPr="0067651D" w:rsidRDefault="0067651D" w:rsidP="0067651D">
      <w:pPr>
        <w:spacing w:line="360" w:lineRule="auto"/>
        <w:ind w:left="4956"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7651D">
        <w:rPr>
          <w:rFonts w:ascii="Times New Roman" w:hAnsi="Times New Roman"/>
          <w:b/>
          <w:sz w:val="28"/>
          <w:szCs w:val="28"/>
          <w:lang w:val="uk-UA"/>
        </w:rPr>
        <w:t>Е.М. Придатько</w:t>
      </w:r>
    </w:p>
    <w:p w:rsidR="0067651D" w:rsidRDefault="0067651D" w:rsidP="0067651D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67651D">
        <w:rPr>
          <w:rFonts w:ascii="Times New Roman" w:hAnsi="Times New Roman"/>
          <w:sz w:val="28"/>
          <w:szCs w:val="28"/>
          <w:lang w:val="uk-UA"/>
        </w:rPr>
        <w:t xml:space="preserve">Красноармійський індустріальний інститут </w:t>
      </w:r>
    </w:p>
    <w:p w:rsidR="0067651D" w:rsidRPr="0067651D" w:rsidRDefault="0067651D" w:rsidP="0067651D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67651D">
        <w:rPr>
          <w:rFonts w:ascii="Times New Roman" w:hAnsi="Times New Roman"/>
          <w:sz w:val="28"/>
          <w:szCs w:val="28"/>
          <w:lang w:val="uk-UA"/>
        </w:rPr>
        <w:t>ДВНЗ «Донецький національний технічний уніве</w:t>
      </w:r>
      <w:bookmarkStart w:id="0" w:name="_GoBack"/>
      <w:bookmarkEnd w:id="0"/>
      <w:r w:rsidRPr="0067651D">
        <w:rPr>
          <w:rFonts w:ascii="Times New Roman" w:hAnsi="Times New Roman"/>
          <w:sz w:val="28"/>
          <w:szCs w:val="28"/>
          <w:lang w:val="uk-UA"/>
        </w:rPr>
        <w:t>рситет», м. Покровськ</w:t>
      </w:r>
    </w:p>
    <w:p w:rsidR="0067651D" w:rsidRDefault="00FC5815" w:rsidP="00703DCB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Науковий к</w:t>
      </w:r>
      <w:r w:rsidR="00703DCB" w:rsidRPr="00703DCB">
        <w:rPr>
          <w:rFonts w:ascii="Times New Roman" w:hAnsi="Times New Roman"/>
          <w:i/>
          <w:sz w:val="28"/>
          <w:szCs w:val="28"/>
          <w:lang w:val="uk-UA"/>
        </w:rPr>
        <w:t>ерівник:</w:t>
      </w:r>
      <w:r w:rsidR="00703D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7651D" w:rsidRPr="00E8012B">
        <w:rPr>
          <w:rFonts w:ascii="Times New Roman" w:hAnsi="Times New Roman"/>
          <w:b/>
          <w:sz w:val="28"/>
          <w:szCs w:val="28"/>
          <w:lang w:val="uk-UA"/>
        </w:rPr>
        <w:t>О.В. Захарова</w:t>
      </w:r>
      <w:r w:rsidR="006765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7651D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="0067651D">
        <w:rPr>
          <w:rFonts w:ascii="Times New Roman" w:hAnsi="Times New Roman"/>
          <w:sz w:val="28"/>
          <w:szCs w:val="28"/>
          <w:lang w:val="uk-UA"/>
        </w:rPr>
        <w:t>., проф.</w:t>
      </w:r>
    </w:p>
    <w:p w:rsidR="0067651D" w:rsidRPr="0067651D" w:rsidRDefault="00E8012B" w:rsidP="00E8012B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Черкаський державний технологічний університет</w:t>
      </w:r>
    </w:p>
    <w:p w:rsidR="00137ED7" w:rsidRPr="00001F79" w:rsidRDefault="00A90D60" w:rsidP="00E801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1F79">
        <w:rPr>
          <w:rFonts w:ascii="Times New Roman" w:hAnsi="Times New Roman"/>
          <w:b/>
          <w:sz w:val="28"/>
          <w:szCs w:val="28"/>
          <w:lang w:val="uk-UA"/>
        </w:rPr>
        <w:t>Вплив матеріально-технічного забезпечення виробничо</w:t>
      </w:r>
      <w:r w:rsidR="00243BB1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001F79">
        <w:rPr>
          <w:rFonts w:ascii="Times New Roman" w:hAnsi="Times New Roman"/>
          <w:b/>
          <w:sz w:val="28"/>
          <w:szCs w:val="28"/>
          <w:lang w:val="uk-UA"/>
        </w:rPr>
        <w:t xml:space="preserve"> діяльності на ефективність процесу формування персоналу промислового підприємства</w:t>
      </w:r>
    </w:p>
    <w:p w:rsidR="000C7686" w:rsidRDefault="00634676" w:rsidP="00484A4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Визначальною у</w:t>
      </w:r>
      <w:r w:rsidR="007579B0">
        <w:rPr>
          <w:rFonts w:ascii="Times New Roman" w:hAnsi="Times New Roman"/>
          <w:sz w:val="28"/>
          <w:szCs w:val="28"/>
          <w:lang w:val="uk-UA"/>
        </w:rPr>
        <w:t>мовою прискорен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7579B0">
        <w:rPr>
          <w:rFonts w:ascii="Times New Roman" w:hAnsi="Times New Roman"/>
          <w:sz w:val="28"/>
          <w:szCs w:val="28"/>
          <w:lang w:val="uk-UA"/>
        </w:rPr>
        <w:t xml:space="preserve">розвитку економіки країни є ефективне функціонування її промислового сектору, досягти чого неможливо без забезпечення </w:t>
      </w:r>
      <w:r w:rsidR="009859A8">
        <w:rPr>
          <w:rFonts w:ascii="Times New Roman" w:hAnsi="Times New Roman"/>
          <w:sz w:val="28"/>
          <w:szCs w:val="28"/>
          <w:lang w:val="uk-UA"/>
        </w:rPr>
        <w:t xml:space="preserve">підприємств якісним персоналом відповідної компетенції, досвіду практичної роботи та </w:t>
      </w:r>
      <w:r>
        <w:rPr>
          <w:rFonts w:ascii="Times New Roman" w:hAnsi="Times New Roman"/>
          <w:sz w:val="28"/>
          <w:szCs w:val="28"/>
          <w:lang w:val="uk-UA"/>
        </w:rPr>
        <w:t xml:space="preserve">ступеня мотивації на досягнення </w:t>
      </w:r>
      <w:r w:rsidR="00174144">
        <w:rPr>
          <w:rFonts w:ascii="Times New Roman" w:hAnsi="Times New Roman"/>
          <w:sz w:val="28"/>
          <w:szCs w:val="28"/>
          <w:lang w:val="uk-UA"/>
        </w:rPr>
        <w:t xml:space="preserve">високих індивідуальних </w:t>
      </w:r>
      <w:r>
        <w:rPr>
          <w:rFonts w:ascii="Times New Roman" w:hAnsi="Times New Roman"/>
          <w:sz w:val="28"/>
          <w:szCs w:val="28"/>
          <w:lang w:val="uk-UA"/>
        </w:rPr>
        <w:t>результатів</w:t>
      </w:r>
      <w:r w:rsidR="00174144">
        <w:rPr>
          <w:rFonts w:ascii="Times New Roman" w:hAnsi="Times New Roman"/>
          <w:sz w:val="28"/>
          <w:szCs w:val="28"/>
          <w:lang w:val="uk-UA"/>
        </w:rPr>
        <w:t xml:space="preserve"> праці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A0073">
        <w:rPr>
          <w:rFonts w:ascii="Times New Roman" w:hAnsi="Times New Roman"/>
          <w:sz w:val="28"/>
          <w:szCs w:val="28"/>
          <w:lang w:val="uk-UA"/>
        </w:rPr>
        <w:t>Реалізація</w:t>
      </w:r>
      <w:r w:rsidR="005443F1">
        <w:rPr>
          <w:rFonts w:ascii="Times New Roman" w:hAnsi="Times New Roman"/>
          <w:sz w:val="28"/>
          <w:szCs w:val="28"/>
          <w:lang w:val="uk-UA"/>
        </w:rPr>
        <w:t xml:space="preserve"> поставленої </w:t>
      </w:r>
      <w:r w:rsidR="005B46E9">
        <w:rPr>
          <w:rFonts w:ascii="Times New Roman" w:hAnsi="Times New Roman"/>
          <w:sz w:val="28"/>
          <w:szCs w:val="28"/>
          <w:lang w:val="uk-UA"/>
        </w:rPr>
        <w:t>мети</w:t>
      </w:r>
      <w:r w:rsidR="005443F1">
        <w:rPr>
          <w:rFonts w:ascii="Times New Roman" w:hAnsi="Times New Roman"/>
          <w:sz w:val="28"/>
          <w:szCs w:val="28"/>
          <w:lang w:val="uk-UA"/>
        </w:rPr>
        <w:t xml:space="preserve"> є досить складним </w:t>
      </w:r>
      <w:r w:rsidR="00CA0073">
        <w:rPr>
          <w:rFonts w:ascii="Times New Roman" w:hAnsi="Times New Roman"/>
          <w:sz w:val="28"/>
          <w:szCs w:val="28"/>
          <w:lang w:val="uk-UA"/>
        </w:rPr>
        <w:t>і</w:t>
      </w:r>
      <w:r w:rsidR="005443F1">
        <w:rPr>
          <w:rFonts w:ascii="Times New Roman" w:hAnsi="Times New Roman"/>
          <w:sz w:val="28"/>
          <w:szCs w:val="28"/>
          <w:lang w:val="uk-UA"/>
        </w:rPr>
        <w:t xml:space="preserve"> комплексним </w:t>
      </w:r>
      <w:r w:rsidR="00E21619">
        <w:rPr>
          <w:rFonts w:ascii="Times New Roman" w:hAnsi="Times New Roman"/>
          <w:sz w:val="28"/>
          <w:szCs w:val="28"/>
          <w:lang w:val="uk-UA"/>
        </w:rPr>
        <w:t>завданням, здійснити яке можливо</w:t>
      </w:r>
      <w:r w:rsidR="00CA0073">
        <w:rPr>
          <w:rFonts w:ascii="Times New Roman" w:hAnsi="Times New Roman"/>
          <w:sz w:val="28"/>
          <w:szCs w:val="28"/>
          <w:lang w:val="uk-UA"/>
        </w:rPr>
        <w:t xml:space="preserve"> не лише</w:t>
      </w:r>
      <w:r w:rsidR="00E21619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CA0073">
        <w:rPr>
          <w:rFonts w:ascii="Times New Roman" w:hAnsi="Times New Roman"/>
          <w:sz w:val="28"/>
          <w:szCs w:val="28"/>
          <w:lang w:val="uk-UA"/>
        </w:rPr>
        <w:t xml:space="preserve">наявності на ринку достатньої кількості компетентних й досвідчених працівників, а й шляхом створення безпосередньо на підприємстві відповідних умов праці. При цьому досить актуальним питанням постає необхідність встановлення загальних тенденцій впливу матеріально-технічного забезпечення виробничо-господарської діяльності промислових підприємств на процеси формування їх персоналу, чому і присвячено </w:t>
      </w:r>
      <w:r w:rsidR="00183AA9">
        <w:rPr>
          <w:rFonts w:ascii="Times New Roman" w:hAnsi="Times New Roman"/>
          <w:sz w:val="28"/>
          <w:szCs w:val="28"/>
          <w:lang w:val="uk-UA"/>
        </w:rPr>
        <w:t>дану роботу.</w:t>
      </w:r>
    </w:p>
    <w:p w:rsidR="00183AA9" w:rsidRDefault="00183AA9" w:rsidP="000114B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встановлення загальних тенденцій </w:t>
      </w:r>
      <w:r w:rsidR="004F7E70">
        <w:rPr>
          <w:rFonts w:ascii="Times New Roman" w:hAnsi="Times New Roman"/>
          <w:sz w:val="28"/>
          <w:szCs w:val="28"/>
          <w:lang w:val="uk-UA"/>
        </w:rPr>
        <w:t xml:space="preserve">впливу більш інформативним та ілюстративним на наш погляд є </w:t>
      </w:r>
      <w:r w:rsidR="005B46E9">
        <w:rPr>
          <w:rFonts w:ascii="Times New Roman" w:hAnsi="Times New Roman"/>
          <w:sz w:val="28"/>
          <w:szCs w:val="28"/>
          <w:lang w:val="uk-UA"/>
        </w:rPr>
        <w:t xml:space="preserve">не статистичний </w:t>
      </w:r>
      <w:r w:rsidR="004F7E70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="005B46E9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="004F7E70">
        <w:rPr>
          <w:rFonts w:ascii="Times New Roman" w:hAnsi="Times New Roman"/>
          <w:sz w:val="28"/>
          <w:szCs w:val="28"/>
          <w:lang w:val="uk-UA"/>
        </w:rPr>
        <w:t xml:space="preserve">конкретних </w:t>
      </w:r>
      <w:r w:rsidR="00954B83">
        <w:rPr>
          <w:rFonts w:ascii="Times New Roman" w:hAnsi="Times New Roman"/>
          <w:sz w:val="28"/>
          <w:szCs w:val="28"/>
          <w:lang w:val="uk-UA"/>
        </w:rPr>
        <w:t xml:space="preserve">промислових </w:t>
      </w:r>
      <w:r w:rsidR="004F7E70">
        <w:rPr>
          <w:rFonts w:ascii="Times New Roman" w:hAnsi="Times New Roman"/>
          <w:sz w:val="28"/>
          <w:szCs w:val="28"/>
          <w:lang w:val="uk-UA"/>
        </w:rPr>
        <w:t>підприємств, а</w:t>
      </w:r>
      <w:r w:rsidR="005B46E9">
        <w:rPr>
          <w:rFonts w:ascii="Times New Roman" w:hAnsi="Times New Roman"/>
          <w:sz w:val="28"/>
          <w:szCs w:val="28"/>
          <w:lang w:val="uk-UA"/>
        </w:rPr>
        <w:t xml:space="preserve"> дослідження </w:t>
      </w:r>
      <w:r w:rsidR="001854F8">
        <w:rPr>
          <w:rFonts w:ascii="Times New Roman" w:hAnsi="Times New Roman"/>
          <w:sz w:val="28"/>
          <w:szCs w:val="28"/>
          <w:lang w:val="uk-UA"/>
        </w:rPr>
        <w:t>ситуації, що склалася в галузі</w:t>
      </w:r>
      <w:r w:rsidR="005B46E9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="001854F8">
        <w:rPr>
          <w:rFonts w:ascii="Times New Roman" w:hAnsi="Times New Roman"/>
          <w:sz w:val="28"/>
          <w:szCs w:val="28"/>
          <w:lang w:val="uk-UA"/>
        </w:rPr>
        <w:t xml:space="preserve">. При цьому в </w:t>
      </w:r>
      <w:r w:rsidR="005B46E9">
        <w:rPr>
          <w:rFonts w:ascii="Times New Roman" w:hAnsi="Times New Roman"/>
          <w:sz w:val="28"/>
          <w:szCs w:val="28"/>
          <w:lang w:val="uk-UA"/>
        </w:rPr>
        <w:t xml:space="preserve">якості періоду було обрано інтервал 2010-2016 рр., </w:t>
      </w:r>
      <w:r w:rsidR="005B46E9" w:rsidRPr="005B46E9">
        <w:rPr>
          <w:rFonts w:ascii="Times New Roman" w:hAnsi="Times New Roman"/>
          <w:sz w:val="28"/>
          <w:szCs w:val="28"/>
          <w:lang w:val="uk-UA"/>
        </w:rPr>
        <w:t>в якому дані за 2014-2016 рр. були відповідним чином скоригованими через сучасну суспільно-політичну обстановку в країні і тому не містять інформації про тимчасово окуповану територію Автономної Республіки Крим і м. Севастополя та частину зони проведення антитерористичної операції</w:t>
      </w:r>
      <w:r w:rsidR="005B46E9">
        <w:rPr>
          <w:rFonts w:ascii="Times New Roman" w:hAnsi="Times New Roman"/>
          <w:sz w:val="28"/>
          <w:szCs w:val="28"/>
          <w:lang w:val="uk-UA"/>
        </w:rPr>
        <w:t>.</w:t>
      </w:r>
    </w:p>
    <w:p w:rsidR="005C2217" w:rsidRDefault="00484A4A" w:rsidP="000114B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4A4A">
        <w:rPr>
          <w:rFonts w:ascii="Times New Roman" w:hAnsi="Times New Roman"/>
          <w:sz w:val="28"/>
          <w:szCs w:val="28"/>
          <w:lang w:val="uk-UA"/>
        </w:rPr>
        <w:t xml:space="preserve">Оцінка рівня матеріально-технічного забезпечення виробничо-господарської діяльності дозволила виявити деякі позитивні тенденції. Так, </w:t>
      </w:r>
      <w:r w:rsidRPr="00484A4A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періоду дослідження зросли обсяги капітальних інвестицій у основні групи основних фондів і нематеріальні активи промислових підприємств, </w:t>
      </w:r>
      <w:r w:rsidR="005C2217">
        <w:rPr>
          <w:rFonts w:ascii="Times New Roman" w:hAnsi="Times New Roman"/>
          <w:sz w:val="28"/>
          <w:szCs w:val="28"/>
          <w:lang w:val="uk-UA"/>
        </w:rPr>
        <w:t>рис.</w:t>
      </w:r>
      <w:r w:rsidR="00EE24D2">
        <w:rPr>
          <w:rFonts w:ascii="Times New Roman" w:hAnsi="Times New Roman"/>
          <w:sz w:val="28"/>
          <w:szCs w:val="28"/>
          <w:lang w:val="uk-UA"/>
        </w:rPr>
        <w:t> </w:t>
      </w:r>
      <w:r w:rsidR="005C2217">
        <w:rPr>
          <w:rFonts w:ascii="Times New Roman" w:hAnsi="Times New Roman"/>
          <w:sz w:val="28"/>
          <w:szCs w:val="28"/>
          <w:lang w:val="uk-UA"/>
        </w:rPr>
        <w:t>1</w:t>
      </w:r>
      <w:r w:rsidRPr="00484A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24D2">
        <w:rPr>
          <w:rFonts w:ascii="Times New Roman" w:hAnsi="Times New Roman"/>
          <w:sz w:val="28"/>
          <w:szCs w:val="28"/>
          <w:lang w:val="uk-UA"/>
        </w:rPr>
        <w:t>З</w:t>
      </w:r>
      <w:r w:rsidR="00EE24D2" w:rsidRPr="00484A4A">
        <w:rPr>
          <w:rFonts w:ascii="Times New Roman" w:hAnsi="Times New Roman"/>
          <w:sz w:val="28"/>
          <w:szCs w:val="28"/>
          <w:lang w:val="uk-UA"/>
        </w:rPr>
        <w:t>більшилася кількість впроваджених нових технологічних процесів</w:t>
      </w:r>
      <w:r w:rsidR="00EE24D2">
        <w:rPr>
          <w:rFonts w:ascii="Times New Roman" w:hAnsi="Times New Roman"/>
          <w:sz w:val="28"/>
          <w:szCs w:val="28"/>
          <w:lang w:val="uk-UA"/>
        </w:rPr>
        <w:t xml:space="preserve"> (з 2043 у 2010 р. до 3489 у 2016 р.)</w:t>
      </w:r>
      <w:r w:rsidR="00EE24D2" w:rsidRPr="00484A4A">
        <w:rPr>
          <w:rFonts w:ascii="Times New Roman" w:hAnsi="Times New Roman"/>
          <w:sz w:val="28"/>
          <w:szCs w:val="28"/>
          <w:lang w:val="uk-UA"/>
        </w:rPr>
        <w:t>, у тому числі маловідходних й ресурсозберігаючих</w:t>
      </w:r>
      <w:r w:rsidR="000F18AD">
        <w:rPr>
          <w:rFonts w:ascii="Times New Roman" w:hAnsi="Times New Roman"/>
          <w:sz w:val="28"/>
          <w:szCs w:val="28"/>
          <w:lang w:val="uk-UA"/>
        </w:rPr>
        <w:t xml:space="preserve"> (з 479 у 2010 р. до 748 у 2016 р.)</w:t>
      </w:r>
      <w:r w:rsidR="00EE24D2">
        <w:rPr>
          <w:rFonts w:ascii="Times New Roman" w:hAnsi="Times New Roman"/>
          <w:sz w:val="28"/>
          <w:szCs w:val="28"/>
          <w:lang w:val="uk-UA"/>
        </w:rPr>
        <w:t>. П</w:t>
      </w:r>
      <w:r w:rsidR="00EE24D2" w:rsidRPr="00484A4A">
        <w:rPr>
          <w:rFonts w:ascii="Times New Roman" w:hAnsi="Times New Roman"/>
          <w:sz w:val="28"/>
          <w:szCs w:val="28"/>
          <w:lang w:val="uk-UA"/>
        </w:rPr>
        <w:t>ідвищилися розміри коштів, на які було придбано машини, обладнання та програмне забезпечення</w:t>
      </w:r>
      <w:r w:rsidR="00EE24D2">
        <w:rPr>
          <w:rFonts w:ascii="Times New Roman" w:hAnsi="Times New Roman"/>
          <w:sz w:val="28"/>
          <w:szCs w:val="28"/>
          <w:lang w:val="uk-UA"/>
        </w:rPr>
        <w:t xml:space="preserve"> – з 5051,7 млн. грн. у 2010 р. до 19829,0 млн. грн. у 2016 р.</w:t>
      </w:r>
    </w:p>
    <w:p w:rsidR="001B49AD" w:rsidRPr="00EE24D2" w:rsidRDefault="001B49AD" w:rsidP="000114BF">
      <w:pPr>
        <w:spacing w:line="360" w:lineRule="auto"/>
        <w:ind w:firstLine="567"/>
        <w:contextualSpacing/>
        <w:jc w:val="both"/>
        <w:rPr>
          <w:rFonts w:ascii="Times New Roman" w:hAnsi="Times New Roman"/>
          <w:sz w:val="20"/>
          <w:szCs w:val="28"/>
          <w:lang w:val="uk-UA"/>
        </w:rPr>
      </w:pPr>
    </w:p>
    <w:p w:rsidR="001B49AD" w:rsidRPr="000F18AD" w:rsidRDefault="005C2217" w:rsidP="005C2217">
      <w:pPr>
        <w:spacing w:line="360" w:lineRule="auto"/>
        <w:contextualSpacing/>
        <w:jc w:val="center"/>
        <w:rPr>
          <w:rFonts w:ascii="Times New Roman" w:hAnsi="Times New Roman"/>
          <w:sz w:val="12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10254" cy="3641697"/>
            <wp:effectExtent l="0" t="0" r="1460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C2217" w:rsidRDefault="005C2217" w:rsidP="005C22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 1 Динаміка залишкової вартості основних фондів у фактичних цінах на кінець року та ступеня зносу основних фондів промислових підприємств України протягом 2010-2016 рр.*</w:t>
      </w:r>
    </w:p>
    <w:p w:rsidR="005C2217" w:rsidRPr="002A2BEC" w:rsidRDefault="005C2217" w:rsidP="005C2217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A2BEC">
        <w:rPr>
          <w:rFonts w:ascii="Times New Roman" w:hAnsi="Times New Roman"/>
          <w:i/>
          <w:sz w:val="24"/>
          <w:szCs w:val="24"/>
          <w:lang w:val="uk-UA"/>
        </w:rPr>
        <w:t xml:space="preserve">* Побудовано за даними </w:t>
      </w:r>
      <w:r w:rsidRPr="002A2BEC">
        <w:rPr>
          <w:rFonts w:ascii="Times New Roman" w:hAnsi="Times New Roman"/>
          <w:bCs/>
          <w:i/>
          <w:sz w:val="24"/>
          <w:szCs w:val="24"/>
        </w:rPr>
        <w:t>http://www.ukrstat.gov.ua/</w:t>
      </w:r>
    </w:p>
    <w:p w:rsidR="001B49AD" w:rsidRPr="000F18AD" w:rsidRDefault="001B49AD" w:rsidP="000114BF">
      <w:pPr>
        <w:spacing w:line="360" w:lineRule="auto"/>
        <w:ind w:firstLine="567"/>
        <w:contextualSpacing/>
        <w:jc w:val="both"/>
        <w:rPr>
          <w:rFonts w:ascii="Times New Roman" w:hAnsi="Times New Roman"/>
          <w:sz w:val="20"/>
          <w:szCs w:val="28"/>
          <w:lang w:val="uk-UA"/>
        </w:rPr>
      </w:pPr>
    </w:p>
    <w:p w:rsidR="005C2217" w:rsidRDefault="005C2217" w:rsidP="005C221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Одночасно </w:t>
      </w:r>
      <w:r w:rsidR="00EE24D2">
        <w:rPr>
          <w:rFonts w:ascii="Times New Roman" w:hAnsi="Times New Roman"/>
          <w:sz w:val="28"/>
          <w:szCs w:val="28"/>
          <w:lang w:val="uk-UA"/>
        </w:rPr>
        <w:t xml:space="preserve">протягом всього періоду дослідження </w:t>
      </w:r>
      <w:r w:rsidRPr="00484A4A">
        <w:rPr>
          <w:rFonts w:ascii="Times New Roman" w:hAnsi="Times New Roman"/>
          <w:sz w:val="28"/>
          <w:szCs w:val="28"/>
          <w:lang w:val="uk-UA"/>
        </w:rPr>
        <w:t>щорічно зростала залишкова вартість основних фондів</w:t>
      </w:r>
      <w:r>
        <w:rPr>
          <w:rFonts w:ascii="Times New Roman" w:hAnsi="Times New Roman"/>
          <w:sz w:val="28"/>
          <w:szCs w:val="28"/>
          <w:lang w:val="uk-UA"/>
        </w:rPr>
        <w:t xml:space="preserve"> промислових підприємств</w:t>
      </w:r>
      <w:r w:rsidR="000F18AD">
        <w:rPr>
          <w:rFonts w:ascii="Times New Roman" w:hAnsi="Times New Roman"/>
          <w:sz w:val="28"/>
          <w:szCs w:val="28"/>
          <w:lang w:val="uk-UA"/>
        </w:rPr>
        <w:t>, причому у 2012 та 2015 рр. спостерігалося найбільше збільшення її розміру</w:t>
      </w:r>
      <w:r w:rsidR="00623DFA">
        <w:rPr>
          <w:rFonts w:ascii="Times New Roman" w:hAnsi="Times New Roman"/>
          <w:sz w:val="28"/>
          <w:szCs w:val="28"/>
          <w:lang w:val="uk-UA"/>
        </w:rPr>
        <w:t>,</w:t>
      </w:r>
      <w:r w:rsidR="00623DFA" w:rsidRPr="00623D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DFA">
        <w:rPr>
          <w:rFonts w:ascii="Times New Roman" w:hAnsi="Times New Roman"/>
          <w:sz w:val="28"/>
          <w:szCs w:val="28"/>
          <w:lang w:val="uk-UA"/>
        </w:rPr>
        <w:t>рис. 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84A4A">
        <w:rPr>
          <w:rFonts w:ascii="Times New Roman" w:hAnsi="Times New Roman"/>
          <w:sz w:val="28"/>
          <w:szCs w:val="28"/>
          <w:lang w:val="uk-UA"/>
        </w:rPr>
        <w:t xml:space="preserve"> Водночас всі означені процеси не дозволили кардинальним чином вплинути на зменшення ступеня зносу основних засобів промислових підприємств України, який у 2016 р. становив 69,4%, що є неприпустимо високим рівнем. </w:t>
      </w:r>
    </w:p>
    <w:p w:rsidR="002A2BEC" w:rsidRPr="000F18AD" w:rsidRDefault="002A2BEC" w:rsidP="005C2217">
      <w:pPr>
        <w:spacing w:line="360" w:lineRule="auto"/>
        <w:contextualSpacing/>
        <w:jc w:val="center"/>
        <w:rPr>
          <w:rFonts w:ascii="Times New Roman" w:hAnsi="Times New Roman"/>
          <w:sz w:val="6"/>
          <w:szCs w:val="28"/>
          <w:lang w:val="uk-UA"/>
        </w:rPr>
      </w:pPr>
      <w:r w:rsidRPr="005C2217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47411" cy="2991916"/>
            <wp:effectExtent l="0" t="0" r="247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2BEC" w:rsidRDefault="002A2BEC" w:rsidP="002A2BE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="005C221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Динаміка залишкової вартості основних фондів у фактичних цінах на кінець року та ступеня зносу основних фондів промислових підприємств України протягом 2010-2016 рр.*</w:t>
      </w:r>
    </w:p>
    <w:p w:rsidR="002A2BEC" w:rsidRPr="002A2BEC" w:rsidRDefault="002A2BEC" w:rsidP="002A2BEC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A2BEC">
        <w:rPr>
          <w:rFonts w:ascii="Times New Roman" w:hAnsi="Times New Roman"/>
          <w:i/>
          <w:sz w:val="24"/>
          <w:szCs w:val="24"/>
          <w:lang w:val="uk-UA"/>
        </w:rPr>
        <w:t xml:space="preserve">* Побудовано за даними </w:t>
      </w:r>
      <w:r w:rsidRPr="002A2BEC">
        <w:rPr>
          <w:rFonts w:ascii="Times New Roman" w:hAnsi="Times New Roman"/>
          <w:bCs/>
          <w:i/>
          <w:sz w:val="24"/>
          <w:szCs w:val="24"/>
        </w:rPr>
        <w:t>http://www.ukrstat.gov.ua/</w:t>
      </w:r>
    </w:p>
    <w:p w:rsidR="002A2BEC" w:rsidRPr="000F18AD" w:rsidRDefault="002A2BEC" w:rsidP="002A2BEC">
      <w:pPr>
        <w:spacing w:line="360" w:lineRule="auto"/>
        <w:contextualSpacing/>
        <w:jc w:val="both"/>
        <w:rPr>
          <w:rFonts w:ascii="Times New Roman" w:hAnsi="Times New Roman"/>
          <w:sz w:val="20"/>
          <w:szCs w:val="28"/>
          <w:lang w:val="uk-UA"/>
        </w:rPr>
      </w:pPr>
    </w:p>
    <w:p w:rsidR="00F97AAC" w:rsidRPr="00E21619" w:rsidRDefault="00484A4A" w:rsidP="002A235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4A4A">
        <w:rPr>
          <w:rFonts w:ascii="Times New Roman" w:hAnsi="Times New Roman"/>
          <w:sz w:val="28"/>
          <w:szCs w:val="28"/>
          <w:lang w:val="uk-UA"/>
        </w:rPr>
        <w:t xml:space="preserve">Отже, можна стверджувати, що промисловість України через активізацію процесів модернізації </w:t>
      </w:r>
      <w:r w:rsidR="002A2354">
        <w:rPr>
          <w:rFonts w:ascii="Times New Roman" w:hAnsi="Times New Roman"/>
          <w:sz w:val="28"/>
          <w:szCs w:val="28"/>
          <w:lang w:val="uk-UA"/>
        </w:rPr>
        <w:t>й</w:t>
      </w:r>
      <w:r w:rsidRPr="00484A4A">
        <w:rPr>
          <w:rFonts w:ascii="Times New Roman" w:hAnsi="Times New Roman"/>
          <w:sz w:val="28"/>
          <w:szCs w:val="28"/>
          <w:lang w:val="uk-UA"/>
        </w:rPr>
        <w:t xml:space="preserve"> оновлення основних фондів потребує відповідного залучення високо компетентних, досвідчених і талановитих </w:t>
      </w:r>
      <w:r w:rsidR="00771693">
        <w:rPr>
          <w:rFonts w:ascii="Times New Roman" w:hAnsi="Times New Roman"/>
          <w:sz w:val="28"/>
          <w:szCs w:val="28"/>
          <w:lang w:val="uk-UA"/>
        </w:rPr>
        <w:t>працівників</w:t>
      </w:r>
      <w:r w:rsidRPr="00484A4A">
        <w:rPr>
          <w:rFonts w:ascii="Times New Roman" w:hAnsi="Times New Roman"/>
          <w:sz w:val="28"/>
          <w:szCs w:val="28"/>
          <w:lang w:val="uk-UA"/>
        </w:rPr>
        <w:t xml:space="preserve"> різного віку, </w:t>
      </w:r>
      <w:r w:rsidR="006662B3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771693">
        <w:rPr>
          <w:rFonts w:ascii="Times New Roman" w:hAnsi="Times New Roman"/>
          <w:sz w:val="28"/>
          <w:szCs w:val="28"/>
          <w:lang w:val="uk-UA"/>
        </w:rPr>
        <w:t>дозволило б</w:t>
      </w:r>
      <w:r w:rsidR="00666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BB">
        <w:rPr>
          <w:rFonts w:ascii="Times New Roman" w:hAnsi="Times New Roman"/>
          <w:sz w:val="28"/>
          <w:szCs w:val="28"/>
          <w:lang w:val="uk-UA"/>
        </w:rPr>
        <w:t xml:space="preserve">на практиці </w:t>
      </w:r>
      <w:r w:rsidR="00771693">
        <w:rPr>
          <w:rFonts w:ascii="Times New Roman" w:hAnsi="Times New Roman"/>
          <w:sz w:val="28"/>
          <w:szCs w:val="28"/>
          <w:lang w:val="uk-UA"/>
        </w:rPr>
        <w:t xml:space="preserve">у короткий термін </w:t>
      </w:r>
      <w:r w:rsidR="000F18AD">
        <w:rPr>
          <w:rFonts w:ascii="Times New Roman" w:hAnsi="Times New Roman"/>
          <w:sz w:val="28"/>
          <w:szCs w:val="28"/>
          <w:lang w:val="uk-UA"/>
        </w:rPr>
        <w:t xml:space="preserve">довести до паспортних значень обладнання показники виробітку та продуктивності праці, здійснити оновлення 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асортиментної </w:t>
      </w:r>
      <w:r w:rsidR="000F18AD">
        <w:rPr>
          <w:rFonts w:ascii="Times New Roman" w:hAnsi="Times New Roman"/>
          <w:sz w:val="28"/>
          <w:szCs w:val="28"/>
          <w:lang w:val="uk-UA"/>
        </w:rPr>
        <w:t xml:space="preserve">лінійки 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продукції, що у комплексі має сприяти зростанню попиту, посиленню конкурентоспроможності та </w:t>
      </w:r>
      <w:r w:rsidR="000F18AD">
        <w:rPr>
          <w:rFonts w:ascii="Times New Roman" w:hAnsi="Times New Roman"/>
          <w:sz w:val="28"/>
          <w:szCs w:val="28"/>
          <w:lang w:val="uk-UA"/>
        </w:rPr>
        <w:t>підвищ</w:t>
      </w:r>
      <w:r w:rsidR="002A2354">
        <w:rPr>
          <w:rFonts w:ascii="Times New Roman" w:hAnsi="Times New Roman"/>
          <w:sz w:val="28"/>
          <w:szCs w:val="28"/>
          <w:lang w:val="uk-UA"/>
        </w:rPr>
        <w:t>енню</w:t>
      </w:r>
      <w:r w:rsidR="000F18AD">
        <w:rPr>
          <w:rFonts w:ascii="Times New Roman" w:hAnsi="Times New Roman"/>
          <w:sz w:val="28"/>
          <w:szCs w:val="28"/>
          <w:lang w:val="uk-UA"/>
        </w:rPr>
        <w:t xml:space="preserve"> рів</w:t>
      </w:r>
      <w:r w:rsidR="002A2354">
        <w:rPr>
          <w:rFonts w:ascii="Times New Roman" w:hAnsi="Times New Roman"/>
          <w:sz w:val="28"/>
          <w:szCs w:val="28"/>
          <w:lang w:val="uk-UA"/>
        </w:rPr>
        <w:t>ня</w:t>
      </w:r>
      <w:r w:rsidR="000F18AD">
        <w:rPr>
          <w:rFonts w:ascii="Times New Roman" w:hAnsi="Times New Roman"/>
          <w:sz w:val="28"/>
          <w:szCs w:val="28"/>
          <w:lang w:val="uk-UA"/>
        </w:rPr>
        <w:t xml:space="preserve"> використання виробничої потужності підприємства.</w:t>
      </w:r>
      <w:r w:rsidR="00666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Водночас залучити високо компетентний персонал вже сьогодні промисловим підприємствам доволі складно через відсутність достатнього фінансового підґрунтя успішності їх функціонування, що негативним чином впливає на здатність </w:t>
      </w:r>
      <w:r w:rsidR="001D104B">
        <w:rPr>
          <w:rFonts w:ascii="Times New Roman" w:hAnsi="Times New Roman"/>
          <w:sz w:val="28"/>
          <w:szCs w:val="28"/>
          <w:lang w:val="uk-UA"/>
        </w:rPr>
        <w:t>забезпечувати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 працівникам гідн</w:t>
      </w:r>
      <w:r w:rsidR="001D104B">
        <w:rPr>
          <w:rFonts w:ascii="Times New Roman" w:hAnsi="Times New Roman"/>
          <w:sz w:val="28"/>
          <w:szCs w:val="28"/>
          <w:lang w:val="uk-UA"/>
        </w:rPr>
        <w:t>ий рівень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 оплат</w:t>
      </w:r>
      <w:r w:rsidR="001D104B">
        <w:rPr>
          <w:rFonts w:ascii="Times New Roman" w:hAnsi="Times New Roman"/>
          <w:sz w:val="28"/>
          <w:szCs w:val="28"/>
          <w:lang w:val="uk-UA"/>
        </w:rPr>
        <w:t>и</w:t>
      </w:r>
      <w:r w:rsidR="002A2354">
        <w:rPr>
          <w:rFonts w:ascii="Times New Roman" w:hAnsi="Times New Roman"/>
          <w:sz w:val="28"/>
          <w:szCs w:val="28"/>
          <w:lang w:val="uk-UA"/>
        </w:rPr>
        <w:t xml:space="preserve"> праці, створювати сприятливі умови діяльності й розвитку. </w:t>
      </w:r>
      <w:r w:rsidR="001D104B">
        <w:rPr>
          <w:rFonts w:ascii="Times New Roman" w:hAnsi="Times New Roman"/>
          <w:sz w:val="28"/>
          <w:szCs w:val="28"/>
          <w:lang w:val="uk-UA"/>
        </w:rPr>
        <w:t>Отже спостерігається залежність – відсутність достатнього розміру ресурсів унеможливлює подальше оновлення основних фондів й залучення персоналу необхідного рівня, що виступає головним гальмуючим чинником перспективного розвитку промислового підприємства.</w:t>
      </w:r>
    </w:p>
    <w:sectPr w:rsidR="00F97AAC" w:rsidRPr="00E21619" w:rsidSect="00F97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0E64"/>
    <w:rsid w:val="00001F79"/>
    <w:rsid w:val="000114BF"/>
    <w:rsid w:val="00011EA6"/>
    <w:rsid w:val="000C7686"/>
    <w:rsid w:val="000F18AD"/>
    <w:rsid w:val="00137ED7"/>
    <w:rsid w:val="00174144"/>
    <w:rsid w:val="00183AA9"/>
    <w:rsid w:val="001854F8"/>
    <w:rsid w:val="001B49AD"/>
    <w:rsid w:val="001D104B"/>
    <w:rsid w:val="00243BB1"/>
    <w:rsid w:val="002A2354"/>
    <w:rsid w:val="002A2BEC"/>
    <w:rsid w:val="00484A4A"/>
    <w:rsid w:val="004A068C"/>
    <w:rsid w:val="004F7E70"/>
    <w:rsid w:val="00500236"/>
    <w:rsid w:val="005443F1"/>
    <w:rsid w:val="005B46E9"/>
    <w:rsid w:val="005C2217"/>
    <w:rsid w:val="00623DFA"/>
    <w:rsid w:val="00634676"/>
    <w:rsid w:val="006662B3"/>
    <w:rsid w:val="0067651D"/>
    <w:rsid w:val="006833BB"/>
    <w:rsid w:val="00703DCB"/>
    <w:rsid w:val="007579B0"/>
    <w:rsid w:val="00771693"/>
    <w:rsid w:val="00954B83"/>
    <w:rsid w:val="009859A8"/>
    <w:rsid w:val="009B3E34"/>
    <w:rsid w:val="00A90D60"/>
    <w:rsid w:val="00A943F2"/>
    <w:rsid w:val="00BE1DFB"/>
    <w:rsid w:val="00BE2CF3"/>
    <w:rsid w:val="00C50B85"/>
    <w:rsid w:val="00CA0073"/>
    <w:rsid w:val="00D90E64"/>
    <w:rsid w:val="00E21619"/>
    <w:rsid w:val="00E8012B"/>
    <w:rsid w:val="00EE24D2"/>
    <w:rsid w:val="00F97AAC"/>
    <w:rsid w:val="00FC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E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E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SANA\Desktop\&#1088;&#1080;&#1089;&#1091;&#1085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SANA\Desktop\&#1088;&#1080;&#1089;&#1091;&#1085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2463177610462634"/>
          <c:y val="3.033436416610464E-2"/>
          <c:w val="0.86839259187334772"/>
          <c:h val="0.62954635720436281"/>
        </c:manualLayout>
      </c:layout>
      <c:barChart>
        <c:barDir val="col"/>
        <c:grouping val="clustered"/>
        <c:ser>
          <c:idx val="0"/>
          <c:order val="0"/>
          <c:tx>
            <c:strRef>
              <c:f>'2.2'!$A$56</c:f>
              <c:strCache>
                <c:ptCount val="1"/>
                <c:pt idx="0">
                  <c:v>Капітальні інвестиції у інженерні споруди,  млн. грн.</c:v>
                </c:pt>
              </c:strCache>
            </c:strRef>
          </c:tx>
          <c:spPr>
            <a:pattFill prst="pct3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2"/>
              </a:solidFill>
            </a:ln>
          </c:spPr>
          <c:cat>
            <c:numRef>
              <c:f>'2.2'!$B$2:$H$2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'2.2'!$B$56:$H$56</c:f>
              <c:numCache>
                <c:formatCode>General</c:formatCode>
                <c:ptCount val="7"/>
                <c:pt idx="0">
                  <c:v>39062.6</c:v>
                </c:pt>
                <c:pt idx="1">
                  <c:v>57935.199999999997</c:v>
                </c:pt>
                <c:pt idx="2">
                  <c:v>61380.3</c:v>
                </c:pt>
                <c:pt idx="3">
                  <c:v>51844.2</c:v>
                </c:pt>
                <c:pt idx="4">
                  <c:v>46599.3</c:v>
                </c:pt>
                <c:pt idx="5">
                  <c:v>50948.7</c:v>
                </c:pt>
                <c:pt idx="6">
                  <c:v>67517.100000000006</c:v>
                </c:pt>
              </c:numCache>
            </c:numRef>
          </c:val>
        </c:ser>
        <c:ser>
          <c:idx val="1"/>
          <c:order val="1"/>
          <c:tx>
            <c:strRef>
              <c:f>'2.2'!$A$57</c:f>
              <c:strCache>
                <c:ptCount val="1"/>
                <c:pt idx="0">
                  <c:v>Капітальні інвестиції у машини, обладнання та інвентар, млн. грн.</c:v>
                </c:pt>
              </c:strCache>
            </c:strRef>
          </c:tx>
          <c:spPr>
            <a:pattFill prst="pct1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2"/>
              </a:solidFill>
            </a:ln>
          </c:spPr>
          <c:cat>
            <c:numRef>
              <c:f>'2.2'!$B$2:$H$2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'2.2'!$B$57:$H$57</c:f>
              <c:numCache>
                <c:formatCode>General</c:formatCode>
                <c:ptCount val="7"/>
                <c:pt idx="0">
                  <c:v>54059.199999999997</c:v>
                </c:pt>
                <c:pt idx="1">
                  <c:v>71771.399999999994</c:v>
                </c:pt>
                <c:pt idx="2">
                  <c:v>77015.399999999994</c:v>
                </c:pt>
                <c:pt idx="3">
                  <c:v>79032.899999999994</c:v>
                </c:pt>
                <c:pt idx="4">
                  <c:v>68948.800000000003</c:v>
                </c:pt>
                <c:pt idx="5">
                  <c:v>84423.2</c:v>
                </c:pt>
                <c:pt idx="6">
                  <c:v>123133.3</c:v>
                </c:pt>
              </c:numCache>
            </c:numRef>
          </c:val>
        </c:ser>
        <c:ser>
          <c:idx val="2"/>
          <c:order val="2"/>
          <c:tx>
            <c:strRef>
              <c:f>'2.2'!$A$58</c:f>
              <c:strCache>
                <c:ptCount val="1"/>
                <c:pt idx="0">
                  <c:v>Капітальні інвестиції у транспортні засоби,  млн. грн.</c:v>
                </c:pt>
              </c:strCache>
            </c:strRef>
          </c:tx>
          <c:spPr>
            <a:pattFill prst="pct7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2"/>
              </a:solidFill>
            </a:ln>
          </c:spPr>
          <c:cat>
            <c:numRef>
              <c:f>'2.2'!$B$2:$H$2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'2.2'!$B$58:$H$58</c:f>
              <c:numCache>
                <c:formatCode>General</c:formatCode>
                <c:ptCount val="7"/>
                <c:pt idx="0">
                  <c:v>11025.3</c:v>
                </c:pt>
                <c:pt idx="1">
                  <c:v>17014</c:v>
                </c:pt>
                <c:pt idx="2">
                  <c:v>27015.9</c:v>
                </c:pt>
                <c:pt idx="3">
                  <c:v>16246.8</c:v>
                </c:pt>
                <c:pt idx="4">
                  <c:v>13830.4</c:v>
                </c:pt>
                <c:pt idx="5">
                  <c:v>19650</c:v>
                </c:pt>
                <c:pt idx="6">
                  <c:v>36685.699999999997</c:v>
                </c:pt>
              </c:numCache>
            </c:numRef>
          </c:val>
        </c:ser>
        <c:ser>
          <c:idx val="3"/>
          <c:order val="3"/>
          <c:tx>
            <c:strRef>
              <c:f>'2.2'!$A$59</c:f>
              <c:strCache>
                <c:ptCount val="1"/>
                <c:pt idx="0">
                  <c:v>Капітальні інвестиції у нематеріальні активи, млн. грн.</c:v>
                </c:pt>
              </c:strCache>
            </c:strRef>
          </c:tx>
          <c:spPr>
            <a:pattFill prst="pct90">
              <a:fgClr>
                <a:schemeClr val="accent1"/>
              </a:fgClr>
              <a:bgClr>
                <a:schemeClr val="bg1"/>
              </a:bgClr>
            </a:pattFill>
          </c:spPr>
          <c:cat>
            <c:numRef>
              <c:f>'2.2'!$B$2:$H$2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'2.2'!$B$59:$H$59</c:f>
              <c:numCache>
                <c:formatCode>General</c:formatCode>
                <c:ptCount val="7"/>
                <c:pt idx="0">
                  <c:v>6912.7</c:v>
                </c:pt>
                <c:pt idx="1">
                  <c:v>9375.7999999999975</c:v>
                </c:pt>
                <c:pt idx="2">
                  <c:v>8402.2999999999975</c:v>
                </c:pt>
                <c:pt idx="3">
                  <c:v>10479.799999999997</c:v>
                </c:pt>
                <c:pt idx="4">
                  <c:v>7384.8</c:v>
                </c:pt>
                <c:pt idx="5">
                  <c:v>18385.5</c:v>
                </c:pt>
                <c:pt idx="6">
                  <c:v>11825.6</c:v>
                </c:pt>
              </c:numCache>
            </c:numRef>
          </c:val>
        </c:ser>
        <c:dLbls/>
        <c:axId val="117416320"/>
        <c:axId val="117418240"/>
      </c:barChart>
      <c:catAx>
        <c:axId val="117416320"/>
        <c:scaling>
          <c:orientation val="minMax"/>
        </c:scaling>
        <c:axPos val="b"/>
        <c:majorGridlines>
          <c:spPr>
            <a:ln>
              <a:solidFill>
                <a:schemeClr val="tx2"/>
              </a:solidFill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Роки</a:t>
                </a:r>
              </a:p>
            </c:rich>
          </c:tx>
          <c:layout>
            <c:manualLayout>
              <c:xMode val="edge"/>
              <c:yMode val="edge"/>
              <c:x val="0.93637825043999801"/>
              <c:y val="0.7338709939964515"/>
            </c:manualLayout>
          </c:layout>
        </c:title>
        <c:numFmt formatCode="General" sourceLinked="1"/>
        <c:tickLblPos val="nextTo"/>
        <c:crossAx val="117418240"/>
        <c:crosses val="autoZero"/>
        <c:auto val="1"/>
        <c:lblAlgn val="ctr"/>
        <c:lblOffset val="100"/>
      </c:catAx>
      <c:valAx>
        <c:axId val="117418240"/>
        <c:scaling>
          <c:orientation val="minMax"/>
          <c:max val="130000"/>
          <c:min val="0"/>
        </c:scaling>
        <c:axPos val="l"/>
        <c:majorGridlines>
          <c:spPr>
            <a:ln>
              <a:solidFill>
                <a:schemeClr val="tx2"/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млн. грн.</a:t>
                </a:r>
              </a:p>
            </c:rich>
          </c:tx>
          <c:layout>
            <c:manualLayout>
              <c:xMode val="edge"/>
              <c:yMode val="edge"/>
              <c:x val="2.6109660574412546E-3"/>
              <c:y val="0.35582426306169068"/>
            </c:manualLayout>
          </c:layout>
        </c:title>
        <c:numFmt formatCode="General" sourceLinked="1"/>
        <c:tickLblPos val="nextTo"/>
        <c:crossAx val="117416320"/>
        <c:crosses val="autoZero"/>
        <c:crossBetween val="between"/>
        <c:majorUnit val="10000"/>
      </c:valAx>
    </c:plotArea>
    <c:legend>
      <c:legendPos val="b"/>
      <c:layout>
        <c:manualLayout>
          <c:xMode val="edge"/>
          <c:yMode val="edge"/>
          <c:x val="0.16156787016812482"/>
          <c:y val="0.75053561360646504"/>
          <c:w val="0.71604557612044761"/>
          <c:h val="0.22629312326534784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478999193320471"/>
          <c:y val="3.033436416610464E-2"/>
          <c:w val="0.75302496950841225"/>
          <c:h val="0.72745415678035341"/>
        </c:manualLayout>
      </c:layout>
      <c:barChart>
        <c:barDir val="col"/>
        <c:grouping val="clustered"/>
        <c:ser>
          <c:idx val="0"/>
          <c:order val="0"/>
          <c:tx>
            <c:strRef>
              <c:f>'2.2'!$A$54</c:f>
              <c:strCache>
                <c:ptCount val="1"/>
                <c:pt idx="0">
                  <c:v>Залишкова вартість основних фондів у фактичних цінах на кінець року, млн. грн.</c:v>
                </c:pt>
              </c:strCache>
            </c:strRef>
          </c:tx>
          <c:spPr>
            <a:pattFill prst="pct5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2"/>
              </a:solidFill>
            </a:ln>
          </c:spPr>
          <c:dLbls>
            <c:dLbl>
              <c:idx val="1"/>
              <c:layout>
                <c:manualLayout>
                  <c:x val="2.3768185703267864E-3"/>
                  <c:y val="5.427930229811265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8.2730084089376286E-3"/>
                </c:manualLayout>
              </c:layout>
              <c:showVal val="1"/>
            </c:dLbl>
            <c:dLbl>
              <c:idx val="5"/>
              <c:layout>
                <c:manualLayout>
                  <c:x val="-4.4525249842465996E-2"/>
                  <c:y val="5.5153100120227715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3.2864654038703696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numRef>
              <c:f>'2.2'!$B$2:$H$2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'2.2'!$B$54:$H$54</c:f>
              <c:numCache>
                <c:formatCode>General</c:formatCode>
                <c:ptCount val="7"/>
                <c:pt idx="0">
                  <c:v>407616</c:v>
                </c:pt>
                <c:pt idx="1">
                  <c:v>482459</c:v>
                </c:pt>
                <c:pt idx="2">
                  <c:v>685030</c:v>
                </c:pt>
                <c:pt idx="3">
                  <c:v>753733</c:v>
                </c:pt>
                <c:pt idx="4">
                  <c:v>769518</c:v>
                </c:pt>
                <c:pt idx="5">
                  <c:v>889183</c:v>
                </c:pt>
                <c:pt idx="6">
                  <c:v>939965</c:v>
                </c:pt>
              </c:numCache>
            </c:numRef>
          </c:val>
        </c:ser>
        <c:dLbls/>
        <c:axId val="120316672"/>
        <c:axId val="120318592"/>
      </c:barChart>
      <c:lineChart>
        <c:grouping val="standard"/>
        <c:ser>
          <c:idx val="1"/>
          <c:order val="1"/>
          <c:tx>
            <c:strRef>
              <c:f>'2.2'!$A$55</c:f>
              <c:strCache>
                <c:ptCount val="1"/>
                <c:pt idx="0">
                  <c:v>Ступінь зносу основних засобів, %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square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1"/>
              <c:layout>
                <c:manualLayout>
                  <c:x val="-3.1331592689295043E-2"/>
                  <c:y val="-4.9638050453625779E-2"/>
                </c:manualLayout>
              </c:layout>
              <c:showVal val="1"/>
            </c:dLbl>
            <c:dLbl>
              <c:idx val="2"/>
              <c:layout>
                <c:manualLayout>
                  <c:x val="-4.3625101225334181E-2"/>
                  <c:y val="3.637867481684439E-2"/>
                </c:manualLayout>
              </c:layout>
              <c:showVal val="1"/>
            </c:dLbl>
            <c:dLbl>
              <c:idx val="3"/>
              <c:layout>
                <c:manualLayout>
                  <c:x val="-4.3625101225334181E-2"/>
                  <c:y val="3.1463109083086645E-2"/>
                </c:manualLayout>
              </c:layout>
              <c:showVal val="1"/>
            </c:dLbl>
            <c:dLbl>
              <c:idx val="4"/>
              <c:layout>
                <c:manualLayout>
                  <c:x val="-4.2616356965959279E-2"/>
                  <c:y val="4.2493450094339462E-2"/>
                </c:manualLayout>
              </c:layout>
              <c:showVal val="1"/>
            </c:dLbl>
            <c:dLbl>
              <c:idx val="5"/>
              <c:layout>
                <c:manualLayout>
                  <c:x val="-7.0801577809530818E-3"/>
                  <c:y val="-4.1364954478572497E-2"/>
                </c:manualLayout>
              </c:layout>
              <c:showVal val="1"/>
            </c:dLbl>
            <c:dLbl>
              <c:idx val="6"/>
              <c:layout>
                <c:manualLayout>
                  <c:x val="-4.4992988385217543E-2"/>
                  <c:y val="4.4122282041599931E-2"/>
                </c:manualLayout>
              </c:layout>
              <c:showVal val="1"/>
            </c:dLbl>
            <c:showVal val="1"/>
          </c:dLbls>
          <c:val>
            <c:numRef>
              <c:f>'2.2'!$B$55:$H$55</c:f>
              <c:numCache>
                <c:formatCode>0.0</c:formatCode>
                <c:ptCount val="7"/>
                <c:pt idx="0">
                  <c:v>63</c:v>
                </c:pt>
                <c:pt idx="1">
                  <c:v>56.8</c:v>
                </c:pt>
                <c:pt idx="2">
                  <c:v>57.3</c:v>
                </c:pt>
                <c:pt idx="3">
                  <c:v>56.9</c:v>
                </c:pt>
                <c:pt idx="4">
                  <c:v>60.3</c:v>
                </c:pt>
                <c:pt idx="5">
                  <c:v>76.900000000000006</c:v>
                </c:pt>
                <c:pt idx="6">
                  <c:v>69.400000000000006</c:v>
                </c:pt>
              </c:numCache>
            </c:numRef>
          </c:val>
        </c:ser>
        <c:dLbls/>
        <c:marker val="1"/>
        <c:axId val="124004992"/>
        <c:axId val="124003072"/>
      </c:lineChart>
      <c:catAx>
        <c:axId val="120316672"/>
        <c:scaling>
          <c:orientation val="minMax"/>
        </c:scaling>
        <c:axPos val="b"/>
        <c:majorGridlines>
          <c:spPr>
            <a:ln>
              <a:solidFill>
                <a:schemeClr val="tx2"/>
              </a:solidFill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Роки</a:t>
                </a:r>
              </a:p>
            </c:rich>
          </c:tx>
          <c:layout>
            <c:manualLayout>
              <c:xMode val="edge"/>
              <c:yMode val="edge"/>
              <c:x val="0.91818878190294051"/>
              <c:y val="0.80484714517315814"/>
            </c:manualLayout>
          </c:layout>
        </c:title>
        <c:numFmt formatCode="General" sourceLinked="1"/>
        <c:tickLblPos val="nextTo"/>
        <c:crossAx val="120318592"/>
        <c:crosses val="autoZero"/>
        <c:auto val="1"/>
        <c:lblAlgn val="ctr"/>
        <c:lblOffset val="100"/>
      </c:catAx>
      <c:valAx>
        <c:axId val="120318592"/>
        <c:scaling>
          <c:orientation val="minMax"/>
          <c:max val="970000"/>
          <c:min val="370000"/>
        </c:scaling>
        <c:axPos val="l"/>
        <c:majorGridlines>
          <c:spPr>
            <a:ln>
              <a:solidFill>
                <a:schemeClr val="tx2"/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млн. грн.</a:t>
                </a:r>
              </a:p>
            </c:rich>
          </c:tx>
          <c:layout>
            <c:manualLayout>
              <c:xMode val="edge"/>
              <c:yMode val="edge"/>
              <c:x val="2.6109660574412542E-3"/>
              <c:y val="0.35582426306169068"/>
            </c:manualLayout>
          </c:layout>
        </c:title>
        <c:numFmt formatCode="General" sourceLinked="1"/>
        <c:tickLblPos val="nextTo"/>
        <c:crossAx val="120316672"/>
        <c:crosses val="autoZero"/>
        <c:crossBetween val="between"/>
      </c:valAx>
      <c:valAx>
        <c:axId val="124003072"/>
        <c:scaling>
          <c:orientation val="minMax"/>
          <c:min val="50"/>
        </c:scaling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</c:title>
        <c:numFmt formatCode="0.0" sourceLinked="1"/>
        <c:tickLblPos val="nextTo"/>
        <c:crossAx val="124004992"/>
        <c:crosses val="max"/>
        <c:crossBetween val="between"/>
      </c:valAx>
      <c:catAx>
        <c:axId val="124004992"/>
        <c:scaling>
          <c:orientation val="minMax"/>
        </c:scaling>
        <c:delete val="1"/>
        <c:axPos val="b"/>
        <c:tickLblPos val="none"/>
        <c:crossAx val="124003072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538</Words>
  <Characters>3868</Characters>
  <Application>Microsoft Office Word</Application>
  <DocSecurity>0</DocSecurity>
  <Lines>72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Придатько</cp:lastModifiedBy>
  <cp:revision>21</cp:revision>
  <dcterms:created xsi:type="dcterms:W3CDTF">2018-03-12T08:57:00Z</dcterms:created>
  <dcterms:modified xsi:type="dcterms:W3CDTF">2018-12-13T19:47:00Z</dcterms:modified>
</cp:coreProperties>
</file>