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28" w:rsidRPr="00375C01" w:rsidRDefault="00586028" w:rsidP="005860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C01">
        <w:rPr>
          <w:rFonts w:ascii="Times New Roman" w:hAnsi="Times New Roman" w:cs="Times New Roman"/>
          <w:b/>
          <w:sz w:val="28"/>
          <w:szCs w:val="28"/>
        </w:rPr>
        <w:t xml:space="preserve">Інтенсивність руху персоналу промислових підприємств, як чинник впливу на ефективність процесів його формування </w:t>
      </w:r>
    </w:p>
    <w:p w:rsidR="00A16537" w:rsidRPr="00375C01" w:rsidRDefault="00586028" w:rsidP="00586028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5C01">
        <w:rPr>
          <w:rFonts w:ascii="Times New Roman" w:hAnsi="Times New Roman" w:cs="Times New Roman"/>
          <w:i/>
          <w:sz w:val="28"/>
          <w:szCs w:val="28"/>
        </w:rPr>
        <w:t>Придатько Е.М.</w:t>
      </w:r>
    </w:p>
    <w:p w:rsidR="00375C01" w:rsidRPr="00375C01" w:rsidRDefault="00375C01" w:rsidP="00375C0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5C01">
        <w:rPr>
          <w:rFonts w:ascii="Times New Roman" w:hAnsi="Times New Roman" w:cs="Times New Roman"/>
          <w:i/>
          <w:sz w:val="28"/>
          <w:szCs w:val="28"/>
        </w:rPr>
        <w:t xml:space="preserve">викладач, </w:t>
      </w:r>
    </w:p>
    <w:p w:rsidR="00375C01" w:rsidRPr="00375C01" w:rsidRDefault="00375C01" w:rsidP="00375C0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5C01">
        <w:rPr>
          <w:rFonts w:ascii="Times New Roman" w:hAnsi="Times New Roman" w:cs="Times New Roman"/>
          <w:i/>
          <w:sz w:val="28"/>
          <w:szCs w:val="28"/>
        </w:rPr>
        <w:t xml:space="preserve">Красноармійський індустріальний інститут </w:t>
      </w:r>
    </w:p>
    <w:p w:rsidR="00375C01" w:rsidRPr="00375C01" w:rsidRDefault="00375C01" w:rsidP="00375C0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5C01">
        <w:rPr>
          <w:rFonts w:ascii="Times New Roman" w:hAnsi="Times New Roman" w:cs="Times New Roman"/>
          <w:i/>
          <w:sz w:val="28"/>
          <w:szCs w:val="28"/>
        </w:rPr>
        <w:t xml:space="preserve">ДВНЗ «Донецький національний технічний університет», м. Покровськ </w:t>
      </w:r>
    </w:p>
    <w:p w:rsidR="00375C01" w:rsidRDefault="00375C01" w:rsidP="00586028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5C01">
        <w:rPr>
          <w:rFonts w:ascii="Times New Roman" w:hAnsi="Times New Roman" w:cs="Times New Roman"/>
          <w:i/>
          <w:sz w:val="28"/>
          <w:szCs w:val="28"/>
        </w:rPr>
        <w:t xml:space="preserve">Науковий керівник: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д.е.н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., проф. Захарова О.В.</w:t>
      </w:r>
    </w:p>
    <w:p w:rsidR="00375C01" w:rsidRPr="00375C01" w:rsidRDefault="00375C01" w:rsidP="00586028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Черкаський державний технологічний університет</w:t>
      </w:r>
    </w:p>
    <w:p w:rsidR="008F6A81" w:rsidRPr="00375C01" w:rsidRDefault="008F6A81" w:rsidP="006435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C01" w:rsidRDefault="00375C01" w:rsidP="00375C0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 формування персоналу промисловими підприємствами лежить у основі успішної трансформації соціально-економічної складової національної економіки через економічне зростання галузі</w:t>
      </w:r>
      <w:r w:rsidR="00E95BA8">
        <w:rPr>
          <w:rFonts w:ascii="Times New Roman" w:hAnsi="Times New Roman" w:cs="Times New Roman"/>
          <w:sz w:val="28"/>
          <w:szCs w:val="28"/>
        </w:rPr>
        <w:t xml:space="preserve">, </w:t>
      </w:r>
      <w:r w:rsidR="00A340FC">
        <w:rPr>
          <w:rFonts w:ascii="Times New Roman" w:hAnsi="Times New Roman" w:cs="Times New Roman"/>
          <w:sz w:val="28"/>
          <w:szCs w:val="28"/>
        </w:rPr>
        <w:t xml:space="preserve">нагромадження людського капіталу </w:t>
      </w:r>
      <w:r w:rsidR="00E95BA8">
        <w:rPr>
          <w:rFonts w:ascii="Times New Roman" w:hAnsi="Times New Roman" w:cs="Times New Roman"/>
          <w:sz w:val="28"/>
          <w:szCs w:val="28"/>
        </w:rPr>
        <w:t>та підвищення соціальної захищеності населення країни.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E6D">
        <w:rPr>
          <w:rFonts w:ascii="Times New Roman" w:hAnsi="Times New Roman" w:cs="Times New Roman"/>
          <w:sz w:val="28"/>
          <w:szCs w:val="28"/>
        </w:rPr>
        <w:t xml:space="preserve">На ефективність </w:t>
      </w:r>
      <w:r w:rsidR="001453D9" w:rsidRPr="001453D9">
        <w:rPr>
          <w:rFonts w:ascii="Times New Roman" w:hAnsi="Times New Roman" w:cs="Times New Roman"/>
          <w:sz w:val="28"/>
          <w:szCs w:val="28"/>
        </w:rPr>
        <w:t xml:space="preserve">процесу </w:t>
      </w:r>
      <w:r w:rsidR="004C4E6D">
        <w:rPr>
          <w:rFonts w:ascii="Times New Roman" w:hAnsi="Times New Roman" w:cs="Times New Roman"/>
          <w:sz w:val="28"/>
          <w:szCs w:val="28"/>
        </w:rPr>
        <w:t xml:space="preserve">формування персоналу впливає значна кількість зовнішніх </w:t>
      </w:r>
      <w:r w:rsidR="001453D9">
        <w:rPr>
          <w:rFonts w:ascii="Times New Roman" w:hAnsi="Times New Roman" w:cs="Times New Roman"/>
          <w:sz w:val="28"/>
          <w:szCs w:val="28"/>
        </w:rPr>
        <w:t>і</w:t>
      </w:r>
      <w:r w:rsidR="004C4E6D">
        <w:rPr>
          <w:rFonts w:ascii="Times New Roman" w:hAnsi="Times New Roman" w:cs="Times New Roman"/>
          <w:sz w:val="28"/>
          <w:szCs w:val="28"/>
        </w:rPr>
        <w:t xml:space="preserve"> внутрішніх чинників, одним із найбільш визначальни</w:t>
      </w:r>
      <w:r w:rsidR="001453D9">
        <w:rPr>
          <w:rFonts w:ascii="Times New Roman" w:hAnsi="Times New Roman" w:cs="Times New Roman"/>
          <w:sz w:val="28"/>
          <w:szCs w:val="28"/>
        </w:rPr>
        <w:t>м з яких</w:t>
      </w:r>
      <w:r w:rsidR="004C4E6D">
        <w:rPr>
          <w:rFonts w:ascii="Times New Roman" w:hAnsi="Times New Roman" w:cs="Times New Roman"/>
          <w:sz w:val="28"/>
          <w:szCs w:val="28"/>
        </w:rPr>
        <w:t xml:space="preserve"> є обраний підприємств</w:t>
      </w:r>
      <w:r w:rsidR="001453D9">
        <w:rPr>
          <w:rFonts w:ascii="Times New Roman" w:hAnsi="Times New Roman" w:cs="Times New Roman"/>
          <w:sz w:val="28"/>
          <w:szCs w:val="28"/>
        </w:rPr>
        <w:t>ом</w:t>
      </w:r>
      <w:r w:rsidR="004C4E6D">
        <w:rPr>
          <w:rFonts w:ascii="Times New Roman" w:hAnsi="Times New Roman" w:cs="Times New Roman"/>
          <w:sz w:val="28"/>
          <w:szCs w:val="28"/>
        </w:rPr>
        <w:t xml:space="preserve"> підхід до підбору персоналу.</w:t>
      </w:r>
      <w:r w:rsidR="001453D9">
        <w:rPr>
          <w:rFonts w:ascii="Times New Roman" w:hAnsi="Times New Roman" w:cs="Times New Roman"/>
          <w:sz w:val="28"/>
          <w:szCs w:val="28"/>
        </w:rPr>
        <w:t xml:space="preserve"> Встановити тенденцію впливу даного чинника можливо лише шляхом встановлення загальногалузевого аналізу на основі даних офіційної статистики. </w:t>
      </w:r>
    </w:p>
    <w:p w:rsidR="00375C01" w:rsidRDefault="00375C01" w:rsidP="00375C0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C01">
        <w:rPr>
          <w:rFonts w:ascii="Times New Roman" w:hAnsi="Times New Roman" w:cs="Times New Roman"/>
          <w:sz w:val="28"/>
          <w:szCs w:val="28"/>
        </w:rPr>
        <w:t xml:space="preserve">Аналіз показників, що непрямо характеризують обраний промисловими підприємствами підхід до підбору персоналу дозволяє здійснити висновок, що протягом </w:t>
      </w:r>
      <w:r w:rsidR="003A4DC1">
        <w:rPr>
          <w:rFonts w:ascii="Times New Roman" w:hAnsi="Times New Roman" w:cs="Times New Roman"/>
          <w:sz w:val="28"/>
          <w:szCs w:val="28"/>
        </w:rPr>
        <w:t xml:space="preserve">2010-2016 рр. </w:t>
      </w:r>
      <w:r w:rsidRPr="00375C01">
        <w:rPr>
          <w:rFonts w:ascii="Times New Roman" w:hAnsi="Times New Roman" w:cs="Times New Roman"/>
          <w:sz w:val="28"/>
          <w:szCs w:val="28"/>
        </w:rPr>
        <w:t>спостерігалася стійка тенденція до скорочення чисельності персоналу, задіяного у промисловості України, про що свідчить щорічне перевищення значення коефіцієнта обороту робочої сили по звільненню над відповідним рівнем показника по прийому. При цьому із часу загострення кризових явищ в українській економіці інтенсивність процесів вивільнення персоналу на промислових підприємствах значно посилилася</w:t>
      </w:r>
      <w:r w:rsidR="003A4DC1">
        <w:rPr>
          <w:rFonts w:ascii="Times New Roman" w:hAnsi="Times New Roman" w:cs="Times New Roman"/>
          <w:sz w:val="28"/>
          <w:szCs w:val="28"/>
        </w:rPr>
        <w:t xml:space="preserve"> (протягом 2013-2015 рр. питома вага звільнених працівників у структурі середньооблікової чисельності персоналу перевищувала 30%)</w:t>
      </w:r>
      <w:r w:rsidR="008D48E0">
        <w:rPr>
          <w:rFonts w:ascii="Times New Roman" w:hAnsi="Times New Roman" w:cs="Times New Roman"/>
          <w:sz w:val="28"/>
          <w:szCs w:val="28"/>
        </w:rPr>
        <w:t xml:space="preserve"> </w:t>
      </w:r>
      <w:r w:rsidR="008D48E0" w:rsidRPr="008D48E0">
        <w:rPr>
          <w:rFonts w:ascii="Times New Roman" w:hAnsi="Times New Roman" w:cs="Times New Roman"/>
          <w:sz w:val="28"/>
          <w:szCs w:val="28"/>
        </w:rPr>
        <w:t>[</w:t>
      </w:r>
      <w:r w:rsidR="008D48E0">
        <w:rPr>
          <w:rFonts w:ascii="Times New Roman" w:hAnsi="Times New Roman" w:cs="Times New Roman"/>
          <w:sz w:val="28"/>
          <w:szCs w:val="28"/>
        </w:rPr>
        <w:t>1</w:t>
      </w:r>
      <w:r w:rsidR="008D48E0" w:rsidRPr="008D48E0">
        <w:rPr>
          <w:rFonts w:ascii="Times New Roman" w:hAnsi="Times New Roman" w:cs="Times New Roman"/>
          <w:sz w:val="28"/>
          <w:szCs w:val="28"/>
        </w:rPr>
        <w:t>]</w:t>
      </w:r>
      <w:r w:rsidRPr="00375C01">
        <w:rPr>
          <w:rFonts w:ascii="Times New Roman" w:hAnsi="Times New Roman" w:cs="Times New Roman"/>
          <w:sz w:val="28"/>
          <w:szCs w:val="28"/>
        </w:rPr>
        <w:t xml:space="preserve">, що є </w:t>
      </w:r>
      <w:r w:rsidR="008D48E0">
        <w:rPr>
          <w:rFonts w:ascii="Times New Roman" w:hAnsi="Times New Roman" w:cs="Times New Roman"/>
          <w:sz w:val="28"/>
          <w:szCs w:val="28"/>
        </w:rPr>
        <w:t xml:space="preserve">суттєвою </w:t>
      </w:r>
      <w:r w:rsidRPr="00375C01">
        <w:rPr>
          <w:rFonts w:ascii="Times New Roman" w:hAnsi="Times New Roman" w:cs="Times New Roman"/>
          <w:sz w:val="28"/>
          <w:szCs w:val="28"/>
        </w:rPr>
        <w:t xml:space="preserve">загрозою для подальшої соціально-економічної стабільності в країні та ознакою скорочення їх виробничого потенціалу та людського капіталу. Ситуація також погіршується через тенденцію </w:t>
      </w:r>
      <w:r w:rsidR="001453D9">
        <w:rPr>
          <w:rFonts w:ascii="Times New Roman" w:hAnsi="Times New Roman" w:cs="Times New Roman"/>
          <w:sz w:val="28"/>
          <w:szCs w:val="28"/>
        </w:rPr>
        <w:t>падіння</w:t>
      </w:r>
      <w:r w:rsidRPr="00375C01">
        <w:rPr>
          <w:rFonts w:ascii="Times New Roman" w:hAnsi="Times New Roman" w:cs="Times New Roman"/>
          <w:sz w:val="28"/>
          <w:szCs w:val="28"/>
        </w:rPr>
        <w:t xml:space="preserve"> рівня і якості життя </w:t>
      </w:r>
      <w:r w:rsidRPr="00375C01">
        <w:rPr>
          <w:rFonts w:ascii="Times New Roman" w:hAnsi="Times New Roman" w:cs="Times New Roman"/>
          <w:sz w:val="28"/>
          <w:szCs w:val="28"/>
        </w:rPr>
        <w:lastRenderedPageBreak/>
        <w:t>працівників промислових підприємств, що відбувається не зважаючи на щорічн</w:t>
      </w:r>
      <w:r w:rsidR="005117FA">
        <w:rPr>
          <w:rFonts w:ascii="Times New Roman" w:hAnsi="Times New Roman" w:cs="Times New Roman"/>
          <w:sz w:val="28"/>
          <w:szCs w:val="28"/>
        </w:rPr>
        <w:t>е</w:t>
      </w:r>
      <w:r w:rsidRPr="00375C01">
        <w:rPr>
          <w:rFonts w:ascii="Times New Roman" w:hAnsi="Times New Roman" w:cs="Times New Roman"/>
          <w:sz w:val="28"/>
          <w:szCs w:val="28"/>
        </w:rPr>
        <w:t xml:space="preserve"> зростання номінальної середньомісячної заробітної плати, рис.</w:t>
      </w:r>
      <w:r w:rsidR="001453D9">
        <w:rPr>
          <w:rFonts w:ascii="Times New Roman" w:hAnsi="Times New Roman" w:cs="Times New Roman"/>
          <w:sz w:val="28"/>
          <w:szCs w:val="28"/>
        </w:rPr>
        <w:t> </w:t>
      </w:r>
      <w:r w:rsidRPr="00375C01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375C01" w:rsidRPr="00AD2144" w:rsidRDefault="00375C01" w:rsidP="00375C0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375C01" w:rsidRDefault="00375C01" w:rsidP="00375C01">
      <w:pPr>
        <w:contextualSpacing/>
        <w:jc w:val="center"/>
        <w:rPr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4389120" cy="2867558"/>
            <wp:effectExtent l="0" t="0" r="11430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5C01" w:rsidRPr="00375C01" w:rsidRDefault="00375C01" w:rsidP="00375C0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5C01">
        <w:rPr>
          <w:rFonts w:ascii="Times New Roman" w:hAnsi="Times New Roman" w:cs="Times New Roman"/>
          <w:sz w:val="28"/>
          <w:szCs w:val="28"/>
        </w:rPr>
        <w:t xml:space="preserve">Рис. 1 Динаміка середньомісячної заробітної плати у промисловості України </w:t>
      </w:r>
    </w:p>
    <w:p w:rsidR="00375C01" w:rsidRPr="00375C01" w:rsidRDefault="00375C01" w:rsidP="00375C0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5C01">
        <w:rPr>
          <w:rFonts w:ascii="Times New Roman" w:hAnsi="Times New Roman" w:cs="Times New Roman"/>
          <w:sz w:val="28"/>
          <w:szCs w:val="28"/>
        </w:rPr>
        <w:t>протягом 2010-2016 рр.*</w:t>
      </w:r>
    </w:p>
    <w:p w:rsidR="00375C01" w:rsidRPr="008D48E0" w:rsidRDefault="00375C01" w:rsidP="00375C01">
      <w:pPr>
        <w:spacing w:after="0" w:line="360" w:lineRule="auto"/>
        <w:contextualSpacing/>
        <w:rPr>
          <w:rFonts w:ascii="Times New Roman" w:hAnsi="Times New Roman" w:cs="Times New Roman"/>
          <w:bCs/>
          <w:i/>
          <w:sz w:val="24"/>
          <w:szCs w:val="28"/>
          <w:lang w:val="ru-RU"/>
        </w:rPr>
      </w:pPr>
      <w:r w:rsidRPr="008D48E0">
        <w:rPr>
          <w:rFonts w:ascii="Times New Roman" w:hAnsi="Times New Roman" w:cs="Times New Roman"/>
          <w:bCs/>
          <w:i/>
          <w:sz w:val="24"/>
          <w:szCs w:val="28"/>
        </w:rPr>
        <w:t xml:space="preserve">* Розраховано та побудовано за даними: </w:t>
      </w:r>
      <w:r w:rsidR="008D48E0" w:rsidRPr="008D48E0">
        <w:rPr>
          <w:rFonts w:ascii="Times New Roman" w:hAnsi="Times New Roman" w:cs="Times New Roman"/>
          <w:bCs/>
          <w:i/>
          <w:sz w:val="24"/>
          <w:szCs w:val="28"/>
          <w:lang w:val="ru-RU"/>
        </w:rPr>
        <w:t>[2]</w:t>
      </w:r>
    </w:p>
    <w:p w:rsidR="008F6A81" w:rsidRPr="00AD2144" w:rsidRDefault="008F6A81" w:rsidP="008F6A81">
      <w:pPr>
        <w:spacing w:after="0" w:line="360" w:lineRule="auto"/>
        <w:ind w:firstLine="720"/>
        <w:rPr>
          <w:rFonts w:ascii="Times New Roman" w:hAnsi="Times New Roman" w:cs="Times New Roman"/>
          <w:sz w:val="18"/>
          <w:szCs w:val="28"/>
        </w:rPr>
      </w:pPr>
    </w:p>
    <w:p w:rsidR="00131FE5" w:rsidRDefault="008D48E0" w:rsidP="00F609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C01">
        <w:rPr>
          <w:rFonts w:ascii="Times New Roman" w:hAnsi="Times New Roman" w:cs="Times New Roman"/>
          <w:sz w:val="28"/>
          <w:szCs w:val="28"/>
        </w:rPr>
        <w:t>Так</w:t>
      </w:r>
      <w:r w:rsidR="00131FE5">
        <w:rPr>
          <w:rFonts w:ascii="Times New Roman" w:hAnsi="Times New Roman" w:cs="Times New Roman"/>
          <w:sz w:val="28"/>
          <w:szCs w:val="28"/>
        </w:rPr>
        <w:t>ож</w:t>
      </w:r>
      <w:r w:rsidRPr="00375C01">
        <w:rPr>
          <w:rFonts w:ascii="Times New Roman" w:hAnsi="Times New Roman" w:cs="Times New Roman"/>
          <w:sz w:val="28"/>
          <w:szCs w:val="28"/>
        </w:rPr>
        <w:t xml:space="preserve"> починаючи з 2014 р.</w:t>
      </w:r>
      <w:r w:rsidR="00131FE5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Pr="00375C01">
        <w:rPr>
          <w:rFonts w:ascii="Times New Roman" w:hAnsi="Times New Roman" w:cs="Times New Roman"/>
          <w:sz w:val="28"/>
          <w:szCs w:val="28"/>
        </w:rPr>
        <w:t xml:space="preserve"> відбулося різке падіння доларового еквівалента середньомісячної заробітної плати працівників промислових підприємств, що підтверджується аналогічною динамікою реальної заробітної плати. До того ж, спостеріга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375C01">
        <w:rPr>
          <w:rFonts w:ascii="Times New Roman" w:hAnsi="Times New Roman" w:cs="Times New Roman"/>
          <w:sz w:val="28"/>
          <w:szCs w:val="28"/>
        </w:rPr>
        <w:t>ся суттєве зростання заборгованості із виплати заробітної плати</w:t>
      </w:r>
      <w:r w:rsidR="00131FE5">
        <w:rPr>
          <w:rFonts w:ascii="Times New Roman" w:hAnsi="Times New Roman" w:cs="Times New Roman"/>
          <w:sz w:val="28"/>
          <w:szCs w:val="28"/>
        </w:rPr>
        <w:t xml:space="preserve"> працівникам промислових підприємств</w:t>
      </w:r>
      <w:r w:rsidRPr="00375C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3D9" w:rsidRDefault="008D48E0" w:rsidP="00F609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C01">
        <w:rPr>
          <w:rFonts w:ascii="Times New Roman" w:hAnsi="Times New Roman" w:cs="Times New Roman"/>
          <w:sz w:val="28"/>
          <w:szCs w:val="28"/>
        </w:rPr>
        <w:t xml:space="preserve">Отже, за таких умов залучити </w:t>
      </w:r>
      <w:r w:rsidR="00AD2144">
        <w:rPr>
          <w:rFonts w:ascii="Times New Roman" w:hAnsi="Times New Roman" w:cs="Times New Roman"/>
          <w:sz w:val="28"/>
          <w:szCs w:val="28"/>
        </w:rPr>
        <w:t xml:space="preserve">ззовні </w:t>
      </w:r>
      <w:r w:rsidRPr="00375C01">
        <w:rPr>
          <w:rFonts w:ascii="Times New Roman" w:hAnsi="Times New Roman" w:cs="Times New Roman"/>
          <w:sz w:val="28"/>
          <w:szCs w:val="28"/>
        </w:rPr>
        <w:t>талановит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5C01">
        <w:rPr>
          <w:rFonts w:ascii="Times New Roman" w:hAnsi="Times New Roman" w:cs="Times New Roman"/>
          <w:sz w:val="28"/>
          <w:szCs w:val="28"/>
        </w:rPr>
        <w:t xml:space="preserve"> молод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75C01">
        <w:rPr>
          <w:rFonts w:ascii="Times New Roman" w:hAnsi="Times New Roman" w:cs="Times New Roman"/>
          <w:sz w:val="28"/>
          <w:szCs w:val="28"/>
        </w:rPr>
        <w:t xml:space="preserve"> і досвідчених працівників на промислові підприємства </w:t>
      </w:r>
      <w:r w:rsidR="00AD2144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375C01">
        <w:rPr>
          <w:rFonts w:ascii="Times New Roman" w:hAnsi="Times New Roman" w:cs="Times New Roman"/>
          <w:sz w:val="28"/>
          <w:szCs w:val="28"/>
        </w:rPr>
        <w:t>є досить складно</w:t>
      </w:r>
      <w:r>
        <w:rPr>
          <w:rFonts w:ascii="Times New Roman" w:hAnsi="Times New Roman" w:cs="Times New Roman"/>
          <w:sz w:val="28"/>
          <w:szCs w:val="28"/>
        </w:rPr>
        <w:t xml:space="preserve"> або навіть неможливо</w:t>
      </w:r>
      <w:r w:rsidRPr="00375C01">
        <w:rPr>
          <w:rFonts w:ascii="Times New Roman" w:hAnsi="Times New Roman" w:cs="Times New Roman"/>
          <w:sz w:val="28"/>
          <w:szCs w:val="28"/>
        </w:rPr>
        <w:t>.</w:t>
      </w:r>
      <w:r w:rsidR="00131FE5">
        <w:rPr>
          <w:rFonts w:ascii="Times New Roman" w:hAnsi="Times New Roman" w:cs="Times New Roman"/>
          <w:sz w:val="28"/>
          <w:szCs w:val="28"/>
        </w:rPr>
        <w:t xml:space="preserve"> Тому </w:t>
      </w:r>
      <w:r w:rsidR="00AD2144">
        <w:rPr>
          <w:rFonts w:ascii="Times New Roman" w:hAnsi="Times New Roman" w:cs="Times New Roman"/>
          <w:sz w:val="28"/>
          <w:szCs w:val="28"/>
        </w:rPr>
        <w:t>доволі</w:t>
      </w:r>
      <w:r w:rsidR="00131FE5">
        <w:rPr>
          <w:rFonts w:ascii="Times New Roman" w:hAnsi="Times New Roman" w:cs="Times New Roman"/>
          <w:sz w:val="28"/>
          <w:szCs w:val="28"/>
        </w:rPr>
        <w:t xml:space="preserve"> актуальн</w:t>
      </w:r>
      <w:r w:rsidR="00AD2144">
        <w:rPr>
          <w:rFonts w:ascii="Times New Roman" w:hAnsi="Times New Roman" w:cs="Times New Roman"/>
          <w:sz w:val="28"/>
          <w:szCs w:val="28"/>
        </w:rPr>
        <w:t xml:space="preserve">им моментом </w:t>
      </w:r>
      <w:r w:rsidR="00215910">
        <w:rPr>
          <w:rFonts w:ascii="Times New Roman" w:hAnsi="Times New Roman" w:cs="Times New Roman"/>
          <w:sz w:val="28"/>
          <w:szCs w:val="28"/>
        </w:rPr>
        <w:t xml:space="preserve">сьогодні </w:t>
      </w:r>
      <w:r w:rsidR="00131FE5">
        <w:rPr>
          <w:rFonts w:ascii="Times New Roman" w:hAnsi="Times New Roman" w:cs="Times New Roman"/>
          <w:sz w:val="28"/>
          <w:szCs w:val="28"/>
        </w:rPr>
        <w:t xml:space="preserve">для промислових підприємств </w:t>
      </w:r>
      <w:r w:rsidR="00215910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131FE5">
        <w:rPr>
          <w:rFonts w:ascii="Times New Roman" w:hAnsi="Times New Roman" w:cs="Times New Roman"/>
          <w:sz w:val="28"/>
          <w:szCs w:val="28"/>
        </w:rPr>
        <w:t>є розробка конкретного плану заходів по стабілізації ситуації</w:t>
      </w:r>
      <w:r w:rsidR="00215910">
        <w:rPr>
          <w:rFonts w:ascii="Times New Roman" w:hAnsi="Times New Roman" w:cs="Times New Roman"/>
          <w:sz w:val="28"/>
          <w:szCs w:val="28"/>
        </w:rPr>
        <w:t>,</w:t>
      </w:r>
      <w:r w:rsidR="00131FE5">
        <w:rPr>
          <w:rFonts w:ascii="Times New Roman" w:hAnsi="Times New Roman" w:cs="Times New Roman"/>
          <w:sz w:val="28"/>
          <w:szCs w:val="28"/>
        </w:rPr>
        <w:t xml:space="preserve"> мінімізації </w:t>
      </w:r>
      <w:r w:rsidR="00215910">
        <w:rPr>
          <w:rFonts w:ascii="Times New Roman" w:hAnsi="Times New Roman" w:cs="Times New Roman"/>
          <w:sz w:val="28"/>
          <w:szCs w:val="28"/>
        </w:rPr>
        <w:t xml:space="preserve">й запобігання </w:t>
      </w:r>
      <w:r w:rsidR="007C6921">
        <w:rPr>
          <w:rFonts w:ascii="Times New Roman" w:hAnsi="Times New Roman" w:cs="Times New Roman"/>
          <w:sz w:val="28"/>
          <w:szCs w:val="28"/>
        </w:rPr>
        <w:t>ризиків</w:t>
      </w:r>
      <w:r w:rsidR="00215910">
        <w:rPr>
          <w:rFonts w:ascii="Times New Roman" w:hAnsi="Times New Roman" w:cs="Times New Roman"/>
          <w:sz w:val="28"/>
          <w:szCs w:val="28"/>
        </w:rPr>
        <w:t xml:space="preserve"> соціально-трудової сфери.</w:t>
      </w:r>
      <w:bookmarkStart w:id="0" w:name="_GoBack"/>
      <w:bookmarkEnd w:id="0"/>
    </w:p>
    <w:p w:rsidR="005117FA" w:rsidRPr="005117FA" w:rsidRDefault="005117FA" w:rsidP="00F609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7FA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5117FA" w:rsidRDefault="005117FA" w:rsidP="00F6093B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7FA">
        <w:rPr>
          <w:rFonts w:ascii="Times New Roman" w:hAnsi="Times New Roman" w:cs="Times New Roman"/>
          <w:sz w:val="28"/>
          <w:szCs w:val="28"/>
        </w:rPr>
        <w:t>Основні показники ринку праці (річні дані) [Електронний ресурс]. – Режим доступу: http://www.ukrstat.gov.ua/.</w:t>
      </w:r>
    </w:p>
    <w:p w:rsidR="005117FA" w:rsidRPr="005117FA" w:rsidRDefault="005117FA" w:rsidP="00AD2144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17FA">
        <w:rPr>
          <w:rFonts w:ascii="Times New Roman" w:hAnsi="Times New Roman" w:cs="Times New Roman"/>
          <w:sz w:val="28"/>
          <w:szCs w:val="28"/>
        </w:rPr>
        <w:t>Середньомісячна заробітна плата за видами економічної діяльності за період з початку року [Електронний ресурс]. – Режим доступу: http://www.ukrstat.gov.ua/.</w:t>
      </w:r>
    </w:p>
    <w:sectPr w:rsidR="005117FA" w:rsidRPr="005117FA" w:rsidSect="0064354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090B"/>
    <w:multiLevelType w:val="hybridMultilevel"/>
    <w:tmpl w:val="5B9E3B9A"/>
    <w:lvl w:ilvl="0" w:tplc="DC9E3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50C2"/>
    <w:rsid w:val="00131FE5"/>
    <w:rsid w:val="001453D9"/>
    <w:rsid w:val="00215910"/>
    <w:rsid w:val="00375C01"/>
    <w:rsid w:val="003A4DC1"/>
    <w:rsid w:val="004C4E6D"/>
    <w:rsid w:val="005117FA"/>
    <w:rsid w:val="00586028"/>
    <w:rsid w:val="00643543"/>
    <w:rsid w:val="006E1051"/>
    <w:rsid w:val="007C6921"/>
    <w:rsid w:val="007F67FB"/>
    <w:rsid w:val="008D48E0"/>
    <w:rsid w:val="008F6A81"/>
    <w:rsid w:val="00904819"/>
    <w:rsid w:val="00A16537"/>
    <w:rsid w:val="00A340FC"/>
    <w:rsid w:val="00A950C2"/>
    <w:rsid w:val="00AD2144"/>
    <w:rsid w:val="00E95BA8"/>
    <w:rsid w:val="00F6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FB"/>
    <w:rPr>
      <w:lang w:val="uk-UA"/>
    </w:rPr>
  </w:style>
  <w:style w:type="paragraph" w:styleId="1">
    <w:name w:val="heading 1"/>
    <w:basedOn w:val="a"/>
    <w:link w:val="10"/>
    <w:uiPriority w:val="9"/>
    <w:qFormat/>
    <w:rsid w:val="00511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C0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5117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1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11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511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C0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5117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1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117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KSANA\Desktop\&#1088;&#1080;&#1089;&#1091;&#1085;&#1082;&#1080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662798009623797"/>
          <c:y val="3.2128510361732067E-2"/>
          <c:w val="0.78540641404199463"/>
          <c:h val="0.74265455136391323"/>
        </c:manualLayout>
      </c:layout>
      <c:barChart>
        <c:barDir val="col"/>
        <c:grouping val="clustered"/>
        <c:ser>
          <c:idx val="1"/>
          <c:order val="1"/>
          <c:tx>
            <c:strRef>
              <c:f>Лист2!$A$3</c:f>
              <c:strCache>
                <c:ptCount val="1"/>
                <c:pt idx="0">
                  <c:v>Середньомісячна заробітна плата у промисловості за період з початку року, грн.</c:v>
                </c:pt>
              </c:strCache>
            </c:strRef>
          </c:tx>
          <c:spPr>
            <a:pattFill prst="pct40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2"/>
              </a:solidFill>
            </a:ln>
          </c:spPr>
          <c:dLbls>
            <c:dLbl>
              <c:idx val="0"/>
              <c:layout>
                <c:manualLayout>
                  <c:x val="3.6429872495446279E-3"/>
                  <c:y val="5.8415473384966872E-3"/>
                </c:manualLayout>
              </c:layout>
              <c:showVal val="1"/>
            </c:dLbl>
            <c:dLbl>
              <c:idx val="1"/>
              <c:layout>
                <c:manualLayout>
                  <c:x val="1.8214936247723137E-3"/>
                  <c:y val="-8.7623210077451118E-3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1.1683094676993482E-2"/>
                </c:manualLayout>
              </c:layout>
              <c:showVal val="1"/>
            </c:dLbl>
            <c:dLbl>
              <c:idx val="6"/>
              <c:layout>
                <c:manualLayout>
                  <c:x val="3.6429872495446279E-3"/>
                  <c:y val="-8.7623210077451118E-3"/>
                </c:manualLayout>
              </c:layout>
              <c:showVal val="1"/>
            </c:dLbl>
            <c:showVal val="1"/>
          </c:dLbls>
          <c:cat>
            <c:numRef>
              <c:f>Лист2!$B$2:$H$2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Лист2!$B$4:$H$4</c:f>
              <c:numCache>
                <c:formatCode>0.0</c:formatCode>
                <c:ptCount val="7"/>
                <c:pt idx="0">
                  <c:v>325.2</c:v>
                </c:pt>
                <c:pt idx="1">
                  <c:v>391.6</c:v>
                </c:pt>
                <c:pt idx="2">
                  <c:v>438</c:v>
                </c:pt>
                <c:pt idx="3">
                  <c:v>470.8</c:v>
                </c:pt>
                <c:pt idx="4">
                  <c:v>335.5</c:v>
                </c:pt>
                <c:pt idx="5">
                  <c:v>219.3</c:v>
                </c:pt>
                <c:pt idx="6">
                  <c:v>231</c:v>
                </c:pt>
              </c:numCache>
            </c:numRef>
          </c:val>
        </c:ser>
        <c:dLbls/>
        <c:axId val="111974272"/>
        <c:axId val="111972352"/>
      </c:barChart>
      <c:lineChart>
        <c:grouping val="stacked"/>
        <c:ser>
          <c:idx val="0"/>
          <c:order val="0"/>
          <c:tx>
            <c:strRef>
              <c:f>Лист2!$A$4</c:f>
              <c:strCache>
                <c:ptCount val="1"/>
                <c:pt idx="0">
                  <c:v>Середньомісячна заробітна плата у промисловості за період з початку року, дол. США</c:v>
                </c:pt>
              </c:strCache>
            </c:strRef>
          </c:tx>
          <c:spPr>
            <a:ln w="38100">
              <a:solidFill>
                <a:schemeClr val="tx2"/>
              </a:solidFill>
            </a:ln>
          </c:spPr>
          <c:marker>
            <c:symbol val="diamond"/>
            <c:size val="9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4608378870673966E-2"/>
                  <c:y val="-3.7970057700228814E-2"/>
                </c:manualLayout>
              </c:layout>
              <c:showVal val="1"/>
            </c:dLbl>
            <c:dLbl>
              <c:idx val="1"/>
              <c:layout>
                <c:manualLayout>
                  <c:x val="-3.8251366120218552E-2"/>
                  <c:y val="4.3811605038725568E-2"/>
                </c:manualLayout>
              </c:layout>
              <c:showVal val="1"/>
            </c:dLbl>
            <c:dLbl>
              <c:idx val="2"/>
              <c:layout>
                <c:manualLayout>
                  <c:x val="-3.4608378870673966E-2"/>
                  <c:y val="3.7970057700228814E-2"/>
                </c:manualLayout>
              </c:layout>
              <c:showVal val="1"/>
            </c:dLbl>
            <c:dLbl>
              <c:idx val="3"/>
              <c:layout>
                <c:manualLayout>
                  <c:x val="-3.0965391621129344E-2"/>
                  <c:y val="4.0890831369477187E-2"/>
                </c:manualLayout>
              </c:layout>
              <c:showVal val="1"/>
            </c:dLbl>
            <c:dLbl>
              <c:idx val="4"/>
              <c:layout>
                <c:manualLayout>
                  <c:x val="-3.278688524590171E-2"/>
                  <c:y val="3.504928403098044E-2"/>
                </c:manualLayout>
              </c:layout>
              <c:showVal val="1"/>
            </c:dLbl>
            <c:dLbl>
              <c:idx val="5"/>
              <c:layout>
                <c:manualLayout>
                  <c:x val="-5.464480874316939E-3"/>
                  <c:y val="1.4603868346241854E-2"/>
                </c:manualLayout>
              </c:layout>
              <c:showVal val="1"/>
            </c:dLbl>
            <c:dLbl>
              <c:idx val="6"/>
              <c:layout>
                <c:manualLayout>
                  <c:x val="-9.1074681238615673E-3"/>
                  <c:y val="2.3366189353986953E-2"/>
                </c:manualLayout>
              </c:layout>
              <c:showVal val="1"/>
            </c:dLbl>
            <c:showVal val="1"/>
          </c:dLbls>
          <c:cat>
            <c:numRef>
              <c:f>Лист2!$B$2:$H$2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Лист2!$B$3:$H$3</c:f>
              <c:numCache>
                <c:formatCode>General</c:formatCode>
                <c:ptCount val="7"/>
                <c:pt idx="0">
                  <c:v>2580</c:v>
                </c:pt>
                <c:pt idx="1">
                  <c:v>3120</c:v>
                </c:pt>
                <c:pt idx="2">
                  <c:v>3500</c:v>
                </c:pt>
                <c:pt idx="3">
                  <c:v>3763</c:v>
                </c:pt>
                <c:pt idx="4">
                  <c:v>3988</c:v>
                </c:pt>
                <c:pt idx="5">
                  <c:v>4791</c:v>
                </c:pt>
                <c:pt idx="6">
                  <c:v>5902</c:v>
                </c:pt>
              </c:numCache>
            </c:numRef>
          </c:val>
        </c:ser>
        <c:dLbls/>
        <c:marker val="1"/>
        <c:axId val="104591360"/>
        <c:axId val="104593280"/>
      </c:lineChart>
      <c:catAx>
        <c:axId val="104591360"/>
        <c:scaling>
          <c:orientation val="minMax"/>
        </c:scaling>
        <c:axPos val="b"/>
        <c:majorGridlines>
          <c:spPr>
            <a:ln>
              <a:solidFill>
                <a:schemeClr val="tx1"/>
              </a:solidFill>
              <a:prstDash val="dash"/>
            </a:ln>
          </c:spPr>
        </c:majorGridlines>
        <c:title>
          <c:tx>
            <c:rich>
              <a:bodyPr/>
              <a:lstStyle/>
              <a:p>
                <a:pPr>
                  <a:defRPr b="0"/>
                </a:pPr>
                <a:r>
                  <a:rPr lang="ru-RU" b="0"/>
                  <a:t>Роки</a:t>
                </a:r>
              </a:p>
            </c:rich>
          </c:tx>
          <c:layout>
            <c:manualLayout>
              <c:xMode val="edge"/>
              <c:yMode val="edge"/>
              <c:x val="0.88864282589676291"/>
              <c:y val="0.79377438285330615"/>
            </c:manualLayout>
          </c:layout>
        </c:title>
        <c:numFmt formatCode="General" sourceLinked="1"/>
        <c:tickLblPos val="nextTo"/>
        <c:crossAx val="104593280"/>
        <c:crosses val="autoZero"/>
        <c:auto val="1"/>
        <c:lblAlgn val="ctr"/>
        <c:lblOffset val="100"/>
      </c:catAx>
      <c:valAx>
        <c:axId val="104593280"/>
        <c:scaling>
          <c:orientation val="minMax"/>
          <c:max val="6000"/>
          <c:min val="2500"/>
        </c:scaling>
        <c:axPos val="l"/>
        <c:majorGridlines>
          <c:spPr>
            <a:ln>
              <a:solidFill>
                <a:schemeClr val="tx1"/>
              </a:solidFill>
              <a:prstDash val="dash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грн.</a:t>
                </a:r>
              </a:p>
            </c:rich>
          </c:tx>
          <c:layout>
            <c:manualLayout>
              <c:xMode val="edge"/>
              <c:yMode val="edge"/>
              <c:x val="9.1074681238615665E-4"/>
              <c:y val="0.39208695718168812"/>
            </c:manualLayout>
          </c:layout>
        </c:title>
        <c:numFmt formatCode="General" sourceLinked="1"/>
        <c:tickLblPos val="nextTo"/>
        <c:crossAx val="104591360"/>
        <c:crosses val="autoZero"/>
        <c:crossBetween val="between"/>
      </c:valAx>
      <c:valAx>
        <c:axId val="111972352"/>
        <c:scaling>
          <c:orientation val="minMax"/>
          <c:max val="480"/>
          <c:min val="200"/>
        </c:scaling>
        <c:axPos val="r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дол. США</a:t>
                </a:r>
              </a:p>
            </c:rich>
          </c:tx>
          <c:layout>
            <c:manualLayout>
              <c:xMode val="edge"/>
              <c:yMode val="edge"/>
              <c:x val="0.97267759562841538"/>
              <c:y val="0.35249598508611568"/>
            </c:manualLayout>
          </c:layout>
        </c:title>
        <c:numFmt formatCode="0.0" sourceLinked="1"/>
        <c:tickLblPos val="nextTo"/>
        <c:crossAx val="111974272"/>
        <c:crosses val="max"/>
        <c:crossBetween val="between"/>
        <c:majorUnit val="40"/>
      </c:valAx>
      <c:catAx>
        <c:axId val="111974272"/>
        <c:scaling>
          <c:orientation val="minMax"/>
        </c:scaling>
        <c:delete val="1"/>
        <c:axPos val="b"/>
        <c:numFmt formatCode="General" sourceLinked="1"/>
        <c:tickLblPos val="none"/>
        <c:crossAx val="111972352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8.9842610819480858E-3"/>
          <c:y val="0.8502510442008705"/>
          <c:w val="0.97913773148148153"/>
          <c:h val="0.12318321024369867"/>
        </c:manualLayout>
      </c:layout>
    </c:legend>
    <c:plotVisOnly val="1"/>
    <c:dispBlanksAs val="zero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1AB4-0CA8-442B-8B9C-EF781059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364</Words>
  <Characters>2770</Characters>
  <Application>Microsoft Office Word</Application>
  <DocSecurity>0</DocSecurity>
  <Lines>55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Руслан Придатько</cp:lastModifiedBy>
  <cp:revision>15</cp:revision>
  <dcterms:created xsi:type="dcterms:W3CDTF">2018-03-11T04:35:00Z</dcterms:created>
  <dcterms:modified xsi:type="dcterms:W3CDTF">2018-12-13T19:49:00Z</dcterms:modified>
</cp:coreProperties>
</file>