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D" w:rsidRPr="00617F2D" w:rsidRDefault="00617F2D" w:rsidP="00617F2D">
      <w:pPr>
        <w:spacing w:after="0" w:line="360" w:lineRule="auto"/>
        <w:jc w:val="right"/>
        <w:rPr>
          <w:sz w:val="20"/>
          <w:szCs w:val="20"/>
        </w:rPr>
      </w:pPr>
      <w:r w:rsidRPr="00617F2D">
        <w:rPr>
          <w:sz w:val="20"/>
          <w:szCs w:val="20"/>
        </w:rPr>
        <w:t>УДК 628.3</w:t>
      </w:r>
    </w:p>
    <w:p w:rsidR="00136848" w:rsidRPr="00136848" w:rsidRDefault="00136848" w:rsidP="0013684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uk-UA"/>
        </w:rPr>
      </w:pPr>
      <w:r w:rsidRPr="00136848">
        <w:rPr>
          <w:rFonts w:eastAsia="Times New Roman"/>
          <w:b/>
          <w:sz w:val="20"/>
          <w:szCs w:val="20"/>
          <w:lang w:eastAsia="uk-UA"/>
        </w:rPr>
        <w:t xml:space="preserve">Техніко-експлуатаційні параметри технології </w:t>
      </w:r>
      <w:proofErr w:type="spellStart"/>
      <w:r w:rsidRPr="00136848">
        <w:rPr>
          <w:rFonts w:eastAsia="Times New Roman"/>
          <w:b/>
          <w:sz w:val="20"/>
          <w:szCs w:val="20"/>
          <w:lang w:eastAsia="uk-UA"/>
        </w:rPr>
        <w:t>реагентного</w:t>
      </w:r>
      <w:proofErr w:type="spellEnd"/>
      <w:r w:rsidRPr="00136848">
        <w:rPr>
          <w:rFonts w:eastAsia="Times New Roman"/>
          <w:b/>
          <w:sz w:val="20"/>
          <w:szCs w:val="20"/>
          <w:lang w:eastAsia="uk-UA"/>
        </w:rPr>
        <w:t xml:space="preserve"> </w:t>
      </w:r>
      <w:r>
        <w:rPr>
          <w:rFonts w:eastAsia="Times New Roman"/>
          <w:b/>
          <w:sz w:val="20"/>
          <w:szCs w:val="20"/>
          <w:lang w:eastAsia="uk-UA"/>
        </w:rPr>
        <w:t>до</w:t>
      </w:r>
      <w:r w:rsidRPr="00136848">
        <w:rPr>
          <w:rFonts w:eastAsia="Times New Roman"/>
          <w:b/>
          <w:sz w:val="20"/>
          <w:szCs w:val="20"/>
          <w:lang w:eastAsia="uk-UA"/>
        </w:rPr>
        <w:t xml:space="preserve">очищення </w:t>
      </w:r>
      <w:r>
        <w:rPr>
          <w:rFonts w:eastAsia="Times New Roman"/>
          <w:b/>
          <w:sz w:val="20"/>
          <w:szCs w:val="20"/>
          <w:lang w:eastAsia="uk-UA"/>
        </w:rPr>
        <w:t>фенольно-аміачних</w:t>
      </w:r>
      <w:r w:rsidRPr="00136848">
        <w:rPr>
          <w:rFonts w:eastAsia="Times New Roman"/>
          <w:b/>
          <w:sz w:val="20"/>
          <w:szCs w:val="20"/>
          <w:lang w:eastAsia="uk-UA"/>
        </w:rPr>
        <w:t xml:space="preserve"> вод</w:t>
      </w:r>
      <w:r w:rsidRPr="00136848">
        <w:rPr>
          <w:rFonts w:eastAsia="Times New Roman"/>
          <w:b/>
          <w:sz w:val="20"/>
          <w:szCs w:val="20"/>
          <w:lang w:eastAsia="uk-UA"/>
        </w:rPr>
        <w:t xml:space="preserve"> </w:t>
      </w:r>
      <w:r>
        <w:rPr>
          <w:rFonts w:eastAsia="Times New Roman"/>
          <w:b/>
          <w:sz w:val="20"/>
          <w:szCs w:val="20"/>
          <w:lang w:eastAsia="uk-UA"/>
        </w:rPr>
        <w:t xml:space="preserve">перед </w:t>
      </w:r>
      <w:r w:rsidR="00DF197B" w:rsidRPr="00DF197B">
        <w:rPr>
          <w:rFonts w:eastAsia="Times New Roman"/>
          <w:b/>
          <w:sz w:val="20"/>
          <w:szCs w:val="20"/>
          <w:lang w:eastAsia="uk-UA"/>
        </w:rPr>
        <w:t xml:space="preserve">    </w:t>
      </w:r>
      <w:r>
        <w:rPr>
          <w:rFonts w:eastAsia="Times New Roman"/>
          <w:b/>
          <w:sz w:val="20"/>
          <w:szCs w:val="20"/>
          <w:lang w:eastAsia="uk-UA"/>
        </w:rPr>
        <w:t>гасінням коксу</w:t>
      </w:r>
    </w:p>
    <w:p w:rsidR="007C047F" w:rsidRDefault="00B46C74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Є.І. Збиковський</w:t>
      </w:r>
      <w:r w:rsidR="002E3034">
        <w:rPr>
          <w:sz w:val="20"/>
          <w:szCs w:val="20"/>
          <w:vertAlign w:val="superscript"/>
          <w:lang w:val="uk-UA"/>
        </w:rPr>
        <w:t>1</w:t>
      </w:r>
    </w:p>
    <w:p w:rsidR="00B46C74" w:rsidRPr="00B46C74" w:rsidRDefault="00B46C74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center"/>
        <w:rPr>
          <w:i/>
          <w:sz w:val="20"/>
          <w:szCs w:val="20"/>
          <w:lang w:val="uk-UA"/>
        </w:rPr>
      </w:pPr>
      <w:r w:rsidRPr="00B46C74">
        <w:rPr>
          <w:i/>
          <w:sz w:val="20"/>
          <w:szCs w:val="20"/>
          <w:lang w:val="uk-UA"/>
        </w:rPr>
        <w:t>Державний вищий навчальний заклад «Донецький національний технічний університет», 85300,</w:t>
      </w:r>
    </w:p>
    <w:p w:rsidR="00B46C74" w:rsidRDefault="00642D6F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м. </w:t>
      </w:r>
      <w:proofErr w:type="spellStart"/>
      <w:r>
        <w:rPr>
          <w:i/>
          <w:sz w:val="20"/>
          <w:szCs w:val="20"/>
          <w:lang w:val="uk-UA"/>
        </w:rPr>
        <w:t>Покровськ</w:t>
      </w:r>
      <w:proofErr w:type="spellEnd"/>
      <w:r>
        <w:rPr>
          <w:i/>
          <w:sz w:val="20"/>
          <w:szCs w:val="20"/>
          <w:lang w:val="uk-UA"/>
        </w:rPr>
        <w:t>, пл.</w:t>
      </w:r>
      <w:bookmarkStart w:id="0" w:name="_GoBack"/>
      <w:bookmarkEnd w:id="0"/>
      <w:r w:rsidR="00B46C74" w:rsidRPr="00B46C74">
        <w:rPr>
          <w:i/>
          <w:sz w:val="20"/>
          <w:szCs w:val="20"/>
          <w:lang w:val="uk-UA"/>
        </w:rPr>
        <w:t xml:space="preserve"> </w:t>
      </w:r>
      <w:proofErr w:type="spellStart"/>
      <w:r w:rsidR="00B46C74" w:rsidRPr="00B46C74">
        <w:rPr>
          <w:i/>
          <w:sz w:val="20"/>
          <w:szCs w:val="20"/>
          <w:lang w:val="uk-UA"/>
        </w:rPr>
        <w:t>Шибанкова</w:t>
      </w:r>
      <w:proofErr w:type="spellEnd"/>
      <w:r w:rsidR="00B46C74" w:rsidRPr="00B46C74">
        <w:rPr>
          <w:i/>
          <w:sz w:val="20"/>
          <w:szCs w:val="20"/>
          <w:lang w:val="uk-UA"/>
        </w:rPr>
        <w:t xml:space="preserve">, 2, </w:t>
      </w:r>
      <w:r w:rsidR="00B46C74">
        <w:rPr>
          <w:i/>
          <w:sz w:val="20"/>
          <w:szCs w:val="20"/>
          <w:lang w:val="uk-UA"/>
        </w:rPr>
        <w:t>Україна</w:t>
      </w:r>
    </w:p>
    <w:p w:rsidR="002D0BC6" w:rsidRPr="00B75638" w:rsidRDefault="002D0BC6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vertAlign w:val="superscript"/>
          <w:lang w:val="uk-UA"/>
        </w:rPr>
        <w:t>1</w:t>
      </w:r>
      <w:r w:rsidR="00B46C74">
        <w:rPr>
          <w:i/>
          <w:sz w:val="20"/>
          <w:szCs w:val="20"/>
          <w:lang w:val="uk-UA"/>
        </w:rPr>
        <w:t xml:space="preserve">Збиковський Євген </w:t>
      </w:r>
      <w:proofErr w:type="spellStart"/>
      <w:r w:rsidR="00B46C74">
        <w:rPr>
          <w:i/>
          <w:sz w:val="20"/>
          <w:szCs w:val="20"/>
          <w:lang w:val="uk-UA"/>
        </w:rPr>
        <w:t>Івнанович</w:t>
      </w:r>
      <w:proofErr w:type="spellEnd"/>
      <w:r w:rsidR="00B46C74">
        <w:rPr>
          <w:i/>
          <w:sz w:val="20"/>
          <w:szCs w:val="20"/>
          <w:lang w:val="uk-UA"/>
        </w:rPr>
        <w:t xml:space="preserve">, </w:t>
      </w:r>
      <w:proofErr w:type="spellStart"/>
      <w:r w:rsidR="00B46C74" w:rsidRPr="00B46C74">
        <w:rPr>
          <w:i/>
          <w:sz w:val="20"/>
          <w:szCs w:val="20"/>
          <w:lang w:val="uk-UA"/>
        </w:rPr>
        <w:t>д</w:t>
      </w:r>
      <w:r w:rsidR="00182797">
        <w:rPr>
          <w:i/>
          <w:sz w:val="20"/>
          <w:szCs w:val="20"/>
          <w:lang w:val="uk-UA"/>
        </w:rPr>
        <w:t>окт</w:t>
      </w:r>
      <w:proofErr w:type="spellEnd"/>
      <w:r w:rsidR="00B46C74" w:rsidRPr="00B46C74">
        <w:rPr>
          <w:i/>
          <w:sz w:val="20"/>
          <w:szCs w:val="20"/>
          <w:lang w:val="uk-UA"/>
        </w:rPr>
        <w:t xml:space="preserve">. техн. наук, </w:t>
      </w:r>
      <w:r w:rsidR="00B46C74">
        <w:rPr>
          <w:i/>
          <w:sz w:val="20"/>
          <w:szCs w:val="20"/>
          <w:lang w:val="uk-UA"/>
        </w:rPr>
        <w:t>доц.,завідувач кафедри «Хімічні технології»</w:t>
      </w:r>
      <w:r>
        <w:rPr>
          <w:i/>
          <w:sz w:val="20"/>
          <w:szCs w:val="20"/>
          <w:lang w:val="uk-UA"/>
        </w:rPr>
        <w:t xml:space="preserve">, </w:t>
      </w:r>
    </w:p>
    <w:p w:rsidR="00B46C74" w:rsidRPr="002D0BC6" w:rsidRDefault="002D0BC6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rPr>
          <w:i/>
          <w:sz w:val="20"/>
          <w:szCs w:val="20"/>
          <w:lang w:val="uk-UA"/>
        </w:rPr>
      </w:pPr>
      <w:r w:rsidRPr="002D0BC6">
        <w:rPr>
          <w:i/>
          <w:sz w:val="20"/>
          <w:szCs w:val="20"/>
          <w:lang w:val="uk-UA"/>
        </w:rPr>
        <w:t>e-</w:t>
      </w:r>
      <w:proofErr w:type="spellStart"/>
      <w:r w:rsidRPr="002D0BC6">
        <w:rPr>
          <w:i/>
          <w:sz w:val="20"/>
          <w:szCs w:val="20"/>
          <w:lang w:val="uk-UA"/>
        </w:rPr>
        <w:t>mail</w:t>
      </w:r>
      <w:proofErr w:type="spellEnd"/>
      <w:r w:rsidRPr="002D0BC6">
        <w:rPr>
          <w:i/>
          <w:sz w:val="20"/>
          <w:szCs w:val="20"/>
          <w:lang w:val="uk-UA"/>
        </w:rPr>
        <w:t>:</w:t>
      </w:r>
      <w:proofErr w:type="spellStart"/>
      <w:r w:rsidRPr="00633240">
        <w:rPr>
          <w:i/>
          <w:color w:val="0070C0"/>
          <w:sz w:val="20"/>
          <w:szCs w:val="20"/>
          <w:u w:val="single"/>
          <w:lang w:val="en-US"/>
        </w:rPr>
        <w:t>zeixtt</w:t>
      </w:r>
      <w:proofErr w:type="spellEnd"/>
      <w:r w:rsidRPr="00633240">
        <w:rPr>
          <w:i/>
          <w:color w:val="0070C0"/>
          <w:sz w:val="20"/>
          <w:szCs w:val="20"/>
          <w:u w:val="single"/>
          <w:lang w:val="uk-UA"/>
        </w:rPr>
        <w:t>@</w:t>
      </w:r>
      <w:proofErr w:type="spellStart"/>
      <w:r w:rsidRPr="00633240">
        <w:rPr>
          <w:i/>
          <w:color w:val="0070C0"/>
          <w:sz w:val="20"/>
          <w:szCs w:val="20"/>
          <w:u w:val="single"/>
          <w:lang w:val="en-US"/>
        </w:rPr>
        <w:t>gmail</w:t>
      </w:r>
      <w:proofErr w:type="spellEnd"/>
      <w:r w:rsidRPr="00633240">
        <w:rPr>
          <w:i/>
          <w:color w:val="0070C0"/>
          <w:sz w:val="20"/>
          <w:szCs w:val="20"/>
          <w:u w:val="single"/>
          <w:lang w:val="uk-UA"/>
        </w:rPr>
        <w:t>.</w:t>
      </w:r>
      <w:r w:rsidRPr="00633240">
        <w:rPr>
          <w:i/>
          <w:color w:val="0070C0"/>
          <w:sz w:val="20"/>
          <w:szCs w:val="20"/>
          <w:u w:val="single"/>
          <w:lang w:val="en-US"/>
        </w:rPr>
        <w:t>com</w:t>
      </w:r>
    </w:p>
    <w:p w:rsidR="002D0BC6" w:rsidRDefault="002D0BC6" w:rsidP="00B46C74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rPr>
          <w:i/>
          <w:sz w:val="20"/>
          <w:szCs w:val="20"/>
          <w:lang w:val="uk-UA"/>
        </w:rPr>
      </w:pPr>
    </w:p>
    <w:p w:rsidR="004C1BD2" w:rsidRPr="00DF197B" w:rsidRDefault="009832E4" w:rsidP="004C1BD2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Реалізовано вдосконалену </w:t>
      </w:r>
      <w:r w:rsidR="00633240" w:rsidRPr="00633240">
        <w:rPr>
          <w:i/>
          <w:sz w:val="20"/>
          <w:szCs w:val="20"/>
          <w:lang w:val="uk-UA"/>
        </w:rPr>
        <w:t xml:space="preserve">технологію </w:t>
      </w:r>
      <w:proofErr w:type="spellStart"/>
      <w:r w:rsidR="00633240" w:rsidRPr="00633240">
        <w:rPr>
          <w:i/>
          <w:sz w:val="20"/>
          <w:szCs w:val="20"/>
          <w:lang w:val="uk-UA"/>
        </w:rPr>
        <w:t>реагентного</w:t>
      </w:r>
      <w:proofErr w:type="spellEnd"/>
      <w:r w:rsidR="00633240" w:rsidRPr="00633240">
        <w:rPr>
          <w:i/>
          <w:sz w:val="20"/>
          <w:szCs w:val="20"/>
          <w:lang w:val="uk-UA"/>
        </w:rPr>
        <w:t xml:space="preserve"> доочищення стічних вод </w:t>
      </w:r>
      <w:r>
        <w:rPr>
          <w:i/>
          <w:sz w:val="20"/>
          <w:szCs w:val="20"/>
          <w:lang w:val="uk-UA"/>
        </w:rPr>
        <w:t>перед мокрим гасінням коксу</w:t>
      </w:r>
      <w:r w:rsidR="004C1BD2">
        <w:rPr>
          <w:i/>
          <w:sz w:val="20"/>
          <w:szCs w:val="20"/>
          <w:lang w:val="uk-UA"/>
        </w:rPr>
        <w:t xml:space="preserve">. </w:t>
      </w:r>
      <w:r w:rsidRPr="009832E4">
        <w:rPr>
          <w:i/>
          <w:sz w:val="20"/>
          <w:szCs w:val="20"/>
          <w:lang w:val="uk-UA"/>
        </w:rPr>
        <w:t xml:space="preserve">Відмінністю пропонованої схеми </w:t>
      </w:r>
      <w:r w:rsidRPr="009832E4">
        <w:rPr>
          <w:i/>
          <w:sz w:val="20"/>
          <w:szCs w:val="20"/>
          <w:lang w:val="uk-UA"/>
        </w:rPr>
        <w:t xml:space="preserve"> доочищення фенольно-аміачних вод є безперервність технологічного процесу</w:t>
      </w:r>
      <w:r>
        <w:rPr>
          <w:i/>
          <w:sz w:val="20"/>
          <w:szCs w:val="20"/>
          <w:lang w:val="uk-UA"/>
        </w:rPr>
        <w:t xml:space="preserve">. </w:t>
      </w:r>
      <w:r w:rsidRPr="009832E4">
        <w:rPr>
          <w:i/>
          <w:sz w:val="20"/>
          <w:szCs w:val="20"/>
          <w:lang w:val="uk-UA"/>
        </w:rPr>
        <w:t>Розраховано</w:t>
      </w:r>
      <w:r w:rsidRPr="009832E4">
        <w:rPr>
          <w:i/>
          <w:sz w:val="20"/>
          <w:szCs w:val="20"/>
          <w:lang w:val="uk-UA"/>
        </w:rPr>
        <w:t xml:space="preserve"> оптимальні значення витрат коагулянту та вміст Al</w:t>
      </w:r>
      <w:r w:rsidRPr="009832E4">
        <w:rPr>
          <w:i/>
          <w:sz w:val="20"/>
          <w:szCs w:val="20"/>
          <w:vertAlign w:val="subscript"/>
          <w:lang w:val="uk-UA"/>
        </w:rPr>
        <w:t>2</w:t>
      </w:r>
      <w:r w:rsidRPr="009832E4">
        <w:rPr>
          <w:i/>
          <w:sz w:val="20"/>
          <w:szCs w:val="20"/>
          <w:lang w:val="uk-UA"/>
        </w:rPr>
        <w:t>(SO</w:t>
      </w:r>
      <w:r w:rsidRPr="009832E4">
        <w:rPr>
          <w:i/>
          <w:sz w:val="20"/>
          <w:szCs w:val="20"/>
          <w:vertAlign w:val="subscript"/>
          <w:lang w:val="uk-UA"/>
        </w:rPr>
        <w:t>4</w:t>
      </w:r>
      <w:r w:rsidRPr="009832E4">
        <w:rPr>
          <w:i/>
          <w:sz w:val="20"/>
          <w:szCs w:val="20"/>
          <w:lang w:val="uk-UA"/>
        </w:rPr>
        <w:t>)</w:t>
      </w:r>
      <w:r w:rsidRPr="009832E4">
        <w:rPr>
          <w:i/>
          <w:sz w:val="20"/>
          <w:szCs w:val="20"/>
          <w:vertAlign w:val="subscript"/>
          <w:lang w:val="uk-UA"/>
        </w:rPr>
        <w:t>3</w:t>
      </w:r>
      <w:r w:rsidRPr="009832E4">
        <w:rPr>
          <w:i/>
          <w:sz w:val="20"/>
          <w:szCs w:val="20"/>
          <w:lang w:val="uk-UA"/>
        </w:rPr>
        <w:t xml:space="preserve">  у комплексі коагулянту стосовно кожної забруднюючої речовини</w:t>
      </w:r>
      <w:r w:rsidR="00DF197B" w:rsidRPr="00DF197B">
        <w:rPr>
          <w:i/>
          <w:sz w:val="20"/>
          <w:szCs w:val="20"/>
          <w:lang w:val="uk-UA"/>
        </w:rPr>
        <w:t>.</w:t>
      </w:r>
    </w:p>
    <w:p w:rsidR="002E3034" w:rsidRDefault="002E3034" w:rsidP="004C1BD2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both"/>
        <w:rPr>
          <w:i/>
          <w:sz w:val="20"/>
          <w:szCs w:val="20"/>
          <w:lang w:val="uk-UA"/>
        </w:rPr>
      </w:pPr>
      <w:r w:rsidRPr="002E3034">
        <w:rPr>
          <w:b/>
          <w:i/>
          <w:sz w:val="20"/>
          <w:szCs w:val="20"/>
          <w:lang w:val="uk-UA"/>
        </w:rPr>
        <w:t>Ключові слова:</w:t>
      </w:r>
      <w:r w:rsidRPr="002E3034">
        <w:rPr>
          <w:i/>
          <w:sz w:val="20"/>
          <w:szCs w:val="20"/>
          <w:lang w:val="uk-UA"/>
        </w:rPr>
        <w:t xml:space="preserve"> </w:t>
      </w:r>
      <w:r w:rsidR="00FC5B7D">
        <w:rPr>
          <w:i/>
          <w:sz w:val="20"/>
          <w:szCs w:val="20"/>
          <w:lang w:val="uk-UA"/>
        </w:rPr>
        <w:t>стічна вода</w:t>
      </w:r>
      <w:r w:rsidRPr="002E3034">
        <w:rPr>
          <w:i/>
          <w:sz w:val="20"/>
          <w:szCs w:val="20"/>
          <w:lang w:val="uk-UA"/>
        </w:rPr>
        <w:t>,</w:t>
      </w:r>
      <w:r>
        <w:rPr>
          <w:i/>
          <w:sz w:val="20"/>
          <w:szCs w:val="20"/>
          <w:lang w:val="uk-UA"/>
        </w:rPr>
        <w:t xml:space="preserve"> </w:t>
      </w:r>
      <w:r w:rsidR="005F2B91">
        <w:rPr>
          <w:i/>
          <w:sz w:val="20"/>
          <w:szCs w:val="20"/>
          <w:lang w:val="uk-UA"/>
        </w:rPr>
        <w:t xml:space="preserve">реагент, </w:t>
      </w:r>
      <w:r w:rsidR="00FC5B7D">
        <w:rPr>
          <w:i/>
          <w:sz w:val="20"/>
          <w:szCs w:val="20"/>
          <w:lang w:val="uk-UA"/>
        </w:rPr>
        <w:t>коагуляція</w:t>
      </w:r>
      <w:r>
        <w:rPr>
          <w:i/>
          <w:sz w:val="20"/>
          <w:szCs w:val="20"/>
          <w:lang w:val="uk-UA"/>
        </w:rPr>
        <w:t xml:space="preserve">, </w:t>
      </w:r>
      <w:r w:rsidR="005F2B91">
        <w:rPr>
          <w:i/>
          <w:sz w:val="20"/>
          <w:szCs w:val="20"/>
          <w:lang w:val="uk-UA"/>
        </w:rPr>
        <w:t>фло</w:t>
      </w:r>
      <w:r w:rsidR="00FC5B7D">
        <w:rPr>
          <w:i/>
          <w:sz w:val="20"/>
          <w:szCs w:val="20"/>
          <w:lang w:val="uk-UA"/>
        </w:rPr>
        <w:t>куляція</w:t>
      </w:r>
      <w:r>
        <w:rPr>
          <w:i/>
          <w:sz w:val="20"/>
          <w:szCs w:val="20"/>
          <w:lang w:val="uk-UA"/>
        </w:rPr>
        <w:t xml:space="preserve">, </w:t>
      </w:r>
      <w:r w:rsidR="009832E4" w:rsidRPr="009832E4">
        <w:rPr>
          <w:i/>
          <w:sz w:val="20"/>
          <w:szCs w:val="20"/>
          <w:lang w:val="uk-UA"/>
        </w:rPr>
        <w:t>коагулятор-відстійник</w:t>
      </w:r>
    </w:p>
    <w:p w:rsidR="002E3034" w:rsidRPr="00B46C74" w:rsidRDefault="002E3034" w:rsidP="004C1BD2">
      <w:pPr>
        <w:pStyle w:val="a3"/>
        <w:tabs>
          <w:tab w:val="left" w:pos="851"/>
          <w:tab w:val="left" w:pos="1416"/>
          <w:tab w:val="left" w:pos="2124"/>
          <w:tab w:val="left" w:pos="2832"/>
          <w:tab w:val="center" w:pos="4857"/>
        </w:tabs>
        <w:spacing w:after="0"/>
        <w:ind w:firstLine="851"/>
        <w:jc w:val="both"/>
        <w:rPr>
          <w:i/>
          <w:sz w:val="20"/>
          <w:szCs w:val="20"/>
          <w:lang w:val="uk-UA"/>
        </w:rPr>
      </w:pPr>
    </w:p>
    <w:p w:rsidR="00136848" w:rsidRPr="00136848" w:rsidRDefault="00136848" w:rsidP="00136848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36848">
        <w:rPr>
          <w:rFonts w:eastAsia="Times New Roman"/>
          <w:sz w:val="20"/>
          <w:szCs w:val="20"/>
          <w:lang w:eastAsia="ru-RU"/>
        </w:rPr>
        <w:t xml:space="preserve">Реалізація </w:t>
      </w:r>
      <w:r>
        <w:rPr>
          <w:rFonts w:eastAsia="Times New Roman"/>
          <w:sz w:val="20"/>
          <w:szCs w:val="20"/>
          <w:lang w:eastAsia="ru-RU"/>
        </w:rPr>
        <w:t>вдосконал</w:t>
      </w:r>
      <w:r w:rsidR="0068172B">
        <w:rPr>
          <w:rFonts w:eastAsia="Times New Roman"/>
          <w:sz w:val="20"/>
          <w:szCs w:val="20"/>
          <w:lang w:eastAsia="ru-RU"/>
        </w:rPr>
        <w:t>ен</w:t>
      </w:r>
      <w:r>
        <w:rPr>
          <w:rFonts w:eastAsia="Times New Roman"/>
          <w:sz w:val="20"/>
          <w:szCs w:val="20"/>
          <w:lang w:eastAsia="ru-RU"/>
        </w:rPr>
        <w:t>ої</w:t>
      </w:r>
      <w:r w:rsidRPr="00136848">
        <w:rPr>
          <w:rFonts w:eastAsia="Times New Roman"/>
          <w:sz w:val="20"/>
          <w:szCs w:val="20"/>
          <w:lang w:eastAsia="ru-RU"/>
        </w:rPr>
        <w:t xml:space="preserve"> технології дозволить поліпшити показники стічної води коксохімічного підприємства, яка подається на гасіння коксу, за рахунок зменшення вмісту активного мулу та багатьох шкідливих речовин. </w:t>
      </w:r>
      <w:r w:rsidR="0068172B">
        <w:rPr>
          <w:rFonts w:eastAsia="Times New Roman"/>
          <w:sz w:val="20"/>
          <w:szCs w:val="20"/>
          <w:lang w:eastAsia="ru-RU"/>
        </w:rPr>
        <w:t>Т</w:t>
      </w:r>
      <w:r w:rsidRPr="00136848">
        <w:rPr>
          <w:rFonts w:eastAsia="Times New Roman"/>
          <w:sz w:val="20"/>
          <w:szCs w:val="20"/>
          <w:lang w:eastAsia="ru-RU"/>
        </w:rPr>
        <w:t>ехнологічна схема передбачає використання двох паралельно працюючих коагуляторів-відстійників.</w:t>
      </w:r>
      <w:r w:rsidR="0068172B">
        <w:rPr>
          <w:rFonts w:eastAsia="Times New Roman"/>
          <w:sz w:val="20"/>
          <w:szCs w:val="20"/>
          <w:lang w:eastAsia="ru-RU"/>
        </w:rPr>
        <w:t xml:space="preserve"> </w:t>
      </w:r>
      <w:r w:rsidRPr="00136848">
        <w:rPr>
          <w:rFonts w:eastAsia="Times New Roman"/>
          <w:sz w:val="20"/>
          <w:szCs w:val="20"/>
          <w:lang w:eastAsia="ru-RU"/>
        </w:rPr>
        <w:t>Стічна вода після біохімічного очищення поділяється на два потоки для забезпечення безперервності процесу і направляється до коагуляторів, до яких подається коагулянт у кількості 0,2–0,3 кг/м</w:t>
      </w:r>
      <w:r w:rsidRPr="0068172B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136848">
        <w:rPr>
          <w:rFonts w:eastAsia="Times New Roman"/>
          <w:sz w:val="20"/>
          <w:szCs w:val="20"/>
          <w:lang w:eastAsia="ru-RU"/>
        </w:rPr>
        <w:t>, потім флокулянт – 2–3 г/м</w:t>
      </w:r>
      <w:r w:rsidRPr="0068172B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136848">
        <w:rPr>
          <w:rFonts w:eastAsia="Times New Roman"/>
          <w:sz w:val="20"/>
          <w:szCs w:val="20"/>
          <w:lang w:eastAsia="ru-RU"/>
        </w:rPr>
        <w:t xml:space="preserve">. За допомогою повітродувки стиснене повітря подається в кожен відстійник, що забезпечує ретельне перемішування води та не руйнує утворені агломерати. Для поліпшення процесу утворення укрупнених пластівців додається дрібнодисперсний </w:t>
      </w:r>
      <w:proofErr w:type="spellStart"/>
      <w:r w:rsidRPr="00136848">
        <w:rPr>
          <w:rFonts w:eastAsia="Times New Roman"/>
          <w:sz w:val="20"/>
          <w:szCs w:val="20"/>
          <w:lang w:eastAsia="ru-RU"/>
        </w:rPr>
        <w:t>замутнювач</w:t>
      </w:r>
      <w:proofErr w:type="spellEnd"/>
      <w:r w:rsidRPr="00136848">
        <w:rPr>
          <w:rFonts w:eastAsia="Times New Roman"/>
          <w:sz w:val="20"/>
          <w:szCs w:val="20"/>
          <w:lang w:eastAsia="ru-RU"/>
        </w:rPr>
        <w:t xml:space="preserve"> органічного походження при безперервному перемішуванні води, яке має здійснюватися 5–10 хв. Надалі протягом півгодини відбувається відстоювання для угруповання осаду. Осаджений мул подається з двох коагуляторів-відстійників в згущувач мулу, в якому відбувається зневоднення отриманого мулу. Принциповою відмінністю пропонованої схеми технології доочищення фенольно-аміачних вод є безперервність технологічного процесу. </w:t>
      </w:r>
    </w:p>
    <w:p w:rsidR="0068172B" w:rsidRDefault="00136848" w:rsidP="0068172B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36848">
        <w:rPr>
          <w:rFonts w:eastAsia="Times New Roman"/>
          <w:sz w:val="20"/>
          <w:szCs w:val="20"/>
          <w:lang w:eastAsia="ru-RU"/>
        </w:rPr>
        <w:t xml:space="preserve">Процес взаємодії </w:t>
      </w:r>
      <w:r w:rsidR="0068172B">
        <w:rPr>
          <w:rFonts w:eastAsia="Times New Roman"/>
          <w:sz w:val="20"/>
          <w:szCs w:val="20"/>
          <w:lang w:eastAsia="ru-RU"/>
        </w:rPr>
        <w:t xml:space="preserve">стічної </w:t>
      </w:r>
      <w:r w:rsidRPr="00136848">
        <w:rPr>
          <w:rFonts w:eastAsia="Times New Roman"/>
          <w:sz w:val="20"/>
          <w:szCs w:val="20"/>
          <w:lang w:eastAsia="ru-RU"/>
        </w:rPr>
        <w:t xml:space="preserve">води з реагентами здійснюється в коагуляторах-відстійниках послідовно: </w:t>
      </w:r>
      <w:r w:rsidR="0068172B">
        <w:rPr>
          <w:rFonts w:eastAsia="Times New Roman"/>
          <w:sz w:val="20"/>
          <w:szCs w:val="20"/>
          <w:lang w:eastAsia="ru-RU"/>
        </w:rPr>
        <w:t xml:space="preserve">в </w:t>
      </w:r>
      <w:r w:rsidRPr="00136848">
        <w:rPr>
          <w:rFonts w:eastAsia="Times New Roman"/>
          <w:sz w:val="20"/>
          <w:szCs w:val="20"/>
          <w:lang w:eastAsia="ru-RU"/>
        </w:rPr>
        <w:t>од</w:t>
      </w:r>
      <w:r w:rsidR="0068172B">
        <w:rPr>
          <w:rFonts w:eastAsia="Times New Roman"/>
          <w:sz w:val="20"/>
          <w:szCs w:val="20"/>
          <w:lang w:eastAsia="ru-RU"/>
        </w:rPr>
        <w:t>ному</w:t>
      </w:r>
      <w:r w:rsidRPr="00136848">
        <w:rPr>
          <w:rFonts w:eastAsia="Times New Roman"/>
          <w:sz w:val="20"/>
          <w:szCs w:val="20"/>
          <w:lang w:eastAsia="ru-RU"/>
        </w:rPr>
        <w:t xml:space="preserve"> з вода відстоюється. </w:t>
      </w:r>
      <w:r w:rsidR="0068172B" w:rsidRPr="0068172B">
        <w:rPr>
          <w:rFonts w:eastAsia="Times New Roman"/>
          <w:sz w:val="20"/>
          <w:szCs w:val="20"/>
          <w:lang w:eastAsia="ru-RU"/>
        </w:rPr>
        <w:t xml:space="preserve">У цей час триває заповнення другого коагулятора-відстійника водою і реагентами та їх ретельне перемішування. Доочищена вода з коагуляторів-відстійників подається в проміжний збірник, звідки частина води подається на розведення стічної неочищеної води перед біохімічним очищенням. Решта води з проміжного відстійника подається на один з трьох коксових фільтрів. У фільтрі відбувається остаточне очищення води від дрібних зважених пластівців і бактерій. В той же час інші фільтри регенеруються. Після очищення на фільтрах вода подається в ємність для збору очищеної води. Доочищена вода подається на установку мокрого гасіння коксу. Відстояний у відстійниках мул після згущення і зневоднення подається на утилізацію. Одним із способів утилізації зневодненого мулу може бути його додавання у вугільну шихту перед коксуванням. </w:t>
      </w:r>
    </w:p>
    <w:p w:rsidR="005F2B91" w:rsidRPr="005F2B91" w:rsidRDefault="005F2B91" w:rsidP="005F2B91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5F2B91">
        <w:rPr>
          <w:rFonts w:eastAsia="Times New Roman"/>
          <w:sz w:val="20"/>
          <w:szCs w:val="20"/>
          <w:lang w:eastAsia="ru-RU"/>
        </w:rPr>
        <w:t>З метою визначення оптимальних техніко-експлуатаційних параметрів</w:t>
      </w:r>
      <w:r w:rsidRPr="005F2B91">
        <w:rPr>
          <w:rFonts w:eastAsia="Times New Roman"/>
          <w:sz w:val="20"/>
          <w:szCs w:val="20"/>
          <w:lang w:eastAsia="ru-RU"/>
        </w:rPr>
        <w:t xml:space="preserve"> </w:t>
      </w:r>
      <w:r w:rsidRPr="005F2B91">
        <w:rPr>
          <w:rFonts w:eastAsia="Times New Roman"/>
          <w:sz w:val="20"/>
          <w:szCs w:val="20"/>
          <w:lang w:eastAsia="ru-RU"/>
        </w:rPr>
        <w:t>були здійснені комп’ютерна обробка експериментальних даних та визначення оптимальних параметрів процесу доочищення стічних вод після біохімічного очищення.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5F2B91">
        <w:rPr>
          <w:rFonts w:eastAsia="Times New Roman"/>
          <w:sz w:val="20"/>
          <w:szCs w:val="20"/>
          <w:lang w:eastAsia="ru-RU"/>
        </w:rPr>
        <w:t>Розраховані оптимальні значення витрат коагулянту та вміст Al</w:t>
      </w:r>
      <w:r w:rsidRPr="009832E4">
        <w:rPr>
          <w:rFonts w:eastAsia="Times New Roman"/>
          <w:sz w:val="20"/>
          <w:szCs w:val="20"/>
          <w:vertAlign w:val="subscript"/>
          <w:lang w:eastAsia="ru-RU"/>
        </w:rPr>
        <w:t>2</w:t>
      </w:r>
      <w:r w:rsidRPr="005F2B91">
        <w:rPr>
          <w:rFonts w:eastAsia="Times New Roman"/>
          <w:sz w:val="20"/>
          <w:szCs w:val="20"/>
          <w:lang w:eastAsia="ru-RU"/>
        </w:rPr>
        <w:t>(SO</w:t>
      </w:r>
      <w:r w:rsidRPr="009832E4">
        <w:rPr>
          <w:rFonts w:eastAsia="Times New Roman"/>
          <w:sz w:val="20"/>
          <w:szCs w:val="20"/>
          <w:vertAlign w:val="subscript"/>
          <w:lang w:eastAsia="ru-RU"/>
        </w:rPr>
        <w:t>4</w:t>
      </w:r>
      <w:r w:rsidRPr="005F2B91">
        <w:rPr>
          <w:rFonts w:eastAsia="Times New Roman"/>
          <w:sz w:val="20"/>
          <w:szCs w:val="20"/>
          <w:lang w:eastAsia="ru-RU"/>
        </w:rPr>
        <w:t>)</w:t>
      </w:r>
      <w:r w:rsidRPr="009832E4">
        <w:rPr>
          <w:rFonts w:eastAsia="Times New Roman"/>
          <w:sz w:val="20"/>
          <w:szCs w:val="20"/>
          <w:vertAlign w:val="subscript"/>
          <w:lang w:eastAsia="ru-RU"/>
        </w:rPr>
        <w:t>3</w:t>
      </w:r>
      <w:r w:rsidRPr="005F2B91">
        <w:rPr>
          <w:rFonts w:eastAsia="Times New Roman"/>
          <w:sz w:val="20"/>
          <w:szCs w:val="20"/>
          <w:lang w:eastAsia="ru-RU"/>
        </w:rPr>
        <w:t xml:space="preserve">  у комплексі коагулянту стосовно кожної забруднюючої речовини наведено в табл. 1.</w:t>
      </w:r>
    </w:p>
    <w:p w:rsidR="005F2B91" w:rsidRPr="005F2B91" w:rsidRDefault="005F2B91" w:rsidP="005F2B91">
      <w:pPr>
        <w:pStyle w:val="1"/>
        <w:shd w:val="clear" w:color="auto" w:fill="auto"/>
        <w:spacing w:before="0" w:line="240" w:lineRule="auto"/>
        <w:ind w:firstLine="709"/>
        <w:jc w:val="right"/>
        <w:rPr>
          <w:lang w:val="uk-UA"/>
        </w:rPr>
      </w:pPr>
      <w:r w:rsidRPr="005F2B91">
        <w:rPr>
          <w:lang w:val="uk-UA"/>
        </w:rPr>
        <w:t>Таблиця 1</w:t>
      </w:r>
    </w:p>
    <w:p w:rsidR="005F2B91" w:rsidRPr="005F2B91" w:rsidRDefault="005F2B91" w:rsidP="005F2B91">
      <w:pPr>
        <w:pStyle w:val="1"/>
        <w:shd w:val="clear" w:color="auto" w:fill="auto"/>
        <w:spacing w:before="0" w:line="240" w:lineRule="auto"/>
        <w:ind w:firstLine="709"/>
        <w:rPr>
          <w:b/>
          <w:lang w:val="uk-UA"/>
        </w:rPr>
      </w:pPr>
      <w:r w:rsidRPr="005F2B91">
        <w:rPr>
          <w:b/>
          <w:lang w:val="uk-UA"/>
        </w:rPr>
        <w:t>Оптимальні значення витрат коагулянту та вміст Al</w:t>
      </w:r>
      <w:r w:rsidRPr="005F2B91">
        <w:rPr>
          <w:b/>
          <w:vertAlign w:val="subscript"/>
          <w:lang w:val="uk-UA"/>
        </w:rPr>
        <w:t>2</w:t>
      </w:r>
      <w:r w:rsidRPr="005F2B91">
        <w:rPr>
          <w:b/>
          <w:lang w:val="uk-UA"/>
        </w:rPr>
        <w:t>(SO</w:t>
      </w:r>
      <w:r w:rsidRPr="005F2B91">
        <w:rPr>
          <w:b/>
          <w:vertAlign w:val="subscript"/>
          <w:lang w:val="uk-UA"/>
        </w:rPr>
        <w:t>4</w:t>
      </w:r>
      <w:r w:rsidRPr="005F2B91">
        <w:rPr>
          <w:b/>
          <w:lang w:val="uk-UA"/>
        </w:rPr>
        <w:t>)</w:t>
      </w:r>
      <w:r w:rsidRPr="005F2B91">
        <w:rPr>
          <w:b/>
          <w:vertAlign w:val="subscript"/>
          <w:lang w:val="uk-UA"/>
        </w:rPr>
        <w:t xml:space="preserve">3 </w:t>
      </w:r>
      <w:r w:rsidRPr="005F2B91">
        <w:rPr>
          <w:b/>
          <w:lang w:val="uk-UA"/>
        </w:rPr>
        <w:t xml:space="preserve"> у комплексі коагулянту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119"/>
        <w:gridCol w:w="3297"/>
      </w:tblGrid>
      <w:tr w:rsidR="005F2B91" w:rsidRPr="007C3F2C" w:rsidTr="00C85E58">
        <w:trPr>
          <w:trHeight w:val="20"/>
          <w:jc w:val="center"/>
        </w:trPr>
        <w:tc>
          <w:tcPr>
            <w:tcW w:w="27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  <w:lang w:eastAsia="uk-UA"/>
              </w:rPr>
              <w:t>Забруднююча речовина</w:t>
            </w:r>
          </w:p>
        </w:tc>
        <w:tc>
          <w:tcPr>
            <w:tcW w:w="6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  <w:lang w:eastAsia="uk-UA"/>
              </w:rPr>
              <w:t>Оптимальні значення</w:t>
            </w:r>
          </w:p>
        </w:tc>
      </w:tr>
      <w:tr w:rsidR="005F2B91" w:rsidRPr="007C3F2C" w:rsidTr="00C85E58">
        <w:trPr>
          <w:trHeight w:val="20"/>
          <w:jc w:val="center"/>
        </w:trPr>
        <w:tc>
          <w:tcPr>
            <w:tcW w:w="27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 xml:space="preserve">витрата </w:t>
            </w:r>
          </w:p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коагулянту, мг/л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вміст Al</w:t>
            </w:r>
            <w:r w:rsidRPr="005F2B91">
              <w:rPr>
                <w:sz w:val="20"/>
                <w:szCs w:val="20"/>
                <w:vertAlign w:val="subscript"/>
              </w:rPr>
              <w:t>2</w:t>
            </w:r>
            <w:r w:rsidRPr="005F2B91">
              <w:rPr>
                <w:sz w:val="20"/>
                <w:szCs w:val="20"/>
              </w:rPr>
              <w:t>(SO</w:t>
            </w:r>
            <w:r w:rsidRPr="005F2B91">
              <w:rPr>
                <w:sz w:val="20"/>
                <w:szCs w:val="20"/>
                <w:vertAlign w:val="subscript"/>
              </w:rPr>
              <w:t>4</w:t>
            </w:r>
            <w:r w:rsidRPr="005F2B91">
              <w:rPr>
                <w:sz w:val="20"/>
                <w:szCs w:val="20"/>
              </w:rPr>
              <w:t>)</w:t>
            </w:r>
            <w:r w:rsidRPr="005F2B91">
              <w:rPr>
                <w:sz w:val="20"/>
                <w:szCs w:val="20"/>
                <w:vertAlign w:val="subscript"/>
              </w:rPr>
              <w:t xml:space="preserve">3  </w:t>
            </w:r>
            <w:r w:rsidRPr="005F2B91">
              <w:rPr>
                <w:sz w:val="20"/>
                <w:szCs w:val="20"/>
              </w:rPr>
              <w:t>у комплексі коагулянту, %</w:t>
            </w:r>
          </w:p>
        </w:tc>
      </w:tr>
      <w:tr w:rsidR="005F2B91" w:rsidRPr="007C3F2C" w:rsidTr="00C85E58">
        <w:trPr>
          <w:trHeight w:val="20"/>
          <w:jc w:val="center"/>
        </w:trPr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Фенол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177,09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85,52</w:t>
            </w:r>
          </w:p>
        </w:tc>
      </w:tr>
      <w:tr w:rsidR="005F2B91" w:rsidRPr="007C3F2C" w:rsidTr="00C85E58">
        <w:trPr>
          <w:trHeight w:val="20"/>
          <w:jc w:val="center"/>
        </w:trPr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Аміак летючий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186,12</w:t>
            </w:r>
          </w:p>
        </w:tc>
        <w:tc>
          <w:tcPr>
            <w:tcW w:w="3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91,99</w:t>
            </w:r>
          </w:p>
        </w:tc>
      </w:tr>
      <w:tr w:rsidR="005F2B91" w:rsidRPr="007C3F2C" w:rsidTr="00C85E58">
        <w:trPr>
          <w:trHeight w:val="20"/>
          <w:jc w:val="center"/>
        </w:trPr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Сірководень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177,73</w:t>
            </w:r>
          </w:p>
        </w:tc>
        <w:tc>
          <w:tcPr>
            <w:tcW w:w="32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84,84</w:t>
            </w:r>
          </w:p>
        </w:tc>
      </w:tr>
      <w:tr w:rsidR="005F2B91" w:rsidRPr="007C3F2C" w:rsidTr="00C85E58">
        <w:trPr>
          <w:trHeight w:val="20"/>
          <w:jc w:val="center"/>
        </w:trPr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F2B91">
              <w:rPr>
                <w:sz w:val="20"/>
                <w:szCs w:val="20"/>
              </w:rPr>
              <w:t>Роданид</w:t>
            </w:r>
            <w:proofErr w:type="spellEnd"/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178,68</w:t>
            </w:r>
          </w:p>
        </w:tc>
        <w:tc>
          <w:tcPr>
            <w:tcW w:w="3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B91" w:rsidRPr="005F2B91" w:rsidRDefault="005F2B91" w:rsidP="00C85E58">
            <w:pPr>
              <w:tabs>
                <w:tab w:val="left" w:pos="75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F2B91">
              <w:rPr>
                <w:sz w:val="20"/>
                <w:szCs w:val="20"/>
              </w:rPr>
              <w:t>93,06</w:t>
            </w:r>
          </w:p>
        </w:tc>
      </w:tr>
    </w:tbl>
    <w:p w:rsidR="0068172B" w:rsidRPr="0068172B" w:rsidRDefault="0068172B" w:rsidP="0068172B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136848" w:rsidRDefault="00136848" w:rsidP="00136848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8172B" w:rsidRDefault="00FC56D5" w:rsidP="00FC56D5">
      <w:pPr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uk-UA"/>
        </w:rPr>
      </w:pPr>
      <w:r w:rsidRPr="00FC56D5">
        <w:rPr>
          <w:b/>
          <w:sz w:val="20"/>
          <w:szCs w:val="20"/>
          <w:lang w:val="en-US"/>
        </w:rPr>
        <w:t xml:space="preserve">Technical and operational parameters of the technology of reagent </w:t>
      </w:r>
      <w:r>
        <w:rPr>
          <w:b/>
          <w:sz w:val="20"/>
          <w:szCs w:val="20"/>
          <w:lang w:val="en-US"/>
        </w:rPr>
        <w:t>after</w:t>
      </w:r>
      <w:r w:rsidR="00DF197B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purification </w:t>
      </w:r>
      <w:proofErr w:type="gramStart"/>
      <w:r>
        <w:rPr>
          <w:b/>
          <w:sz w:val="20"/>
          <w:szCs w:val="20"/>
          <w:lang w:val="en-US"/>
        </w:rPr>
        <w:t>of  the</w:t>
      </w:r>
      <w:proofErr w:type="gramEnd"/>
      <w:r>
        <w:rPr>
          <w:b/>
          <w:sz w:val="20"/>
          <w:szCs w:val="20"/>
          <w:lang w:val="en-US"/>
        </w:rPr>
        <w:t xml:space="preserve"> </w:t>
      </w:r>
      <w:r w:rsidRPr="00FC56D5">
        <w:rPr>
          <w:rFonts w:eastAsia="Times New Roman"/>
          <w:b/>
          <w:sz w:val="20"/>
          <w:szCs w:val="20"/>
          <w:lang w:eastAsia="uk-UA"/>
        </w:rPr>
        <w:t xml:space="preserve">phenolic-ammonia </w:t>
      </w:r>
      <w:r w:rsidRPr="00FC56D5">
        <w:rPr>
          <w:rFonts w:eastAsia="Times New Roman"/>
          <w:b/>
          <w:sz w:val="20"/>
          <w:szCs w:val="20"/>
          <w:lang w:val="en-US" w:eastAsia="uk-UA"/>
        </w:rPr>
        <w:t>water before quenching coke</w:t>
      </w:r>
    </w:p>
    <w:p w:rsidR="00D534FB" w:rsidRDefault="00D534FB" w:rsidP="00D534FB">
      <w:pPr>
        <w:spacing w:after="0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Zbykovskyy</w:t>
      </w:r>
      <w:proofErr w:type="spellEnd"/>
      <w:r>
        <w:rPr>
          <w:sz w:val="20"/>
          <w:szCs w:val="20"/>
          <w:lang w:val="en-US"/>
        </w:rPr>
        <w:t xml:space="preserve"> Y.</w:t>
      </w:r>
      <w:proofErr w:type="gramStart"/>
      <w:r>
        <w:rPr>
          <w:sz w:val="20"/>
          <w:szCs w:val="20"/>
          <w:lang w:val="en-US"/>
        </w:rPr>
        <w:t xml:space="preserve">, </w:t>
      </w:r>
      <w:r w:rsidR="00182797">
        <w:rPr>
          <w:sz w:val="20"/>
          <w:szCs w:val="20"/>
        </w:rPr>
        <w:t>,</w:t>
      </w:r>
      <w:proofErr w:type="spellStart"/>
      <w:r w:rsidR="00182797" w:rsidRPr="000D5396">
        <w:rPr>
          <w:sz w:val="20"/>
          <w:szCs w:val="20"/>
        </w:rPr>
        <w:t>Doctor</w:t>
      </w:r>
      <w:proofErr w:type="spellEnd"/>
      <w:proofErr w:type="gramEnd"/>
      <w:r w:rsidR="00182797" w:rsidRPr="000D5396">
        <w:rPr>
          <w:sz w:val="20"/>
          <w:szCs w:val="20"/>
        </w:rPr>
        <w:t xml:space="preserve"> </w:t>
      </w:r>
      <w:proofErr w:type="spellStart"/>
      <w:r w:rsidR="00182797" w:rsidRPr="000D5396">
        <w:rPr>
          <w:sz w:val="20"/>
          <w:szCs w:val="20"/>
        </w:rPr>
        <w:t>of</w:t>
      </w:r>
      <w:proofErr w:type="spellEnd"/>
      <w:r w:rsidR="00182797" w:rsidRPr="000D5396">
        <w:rPr>
          <w:sz w:val="20"/>
          <w:szCs w:val="20"/>
        </w:rPr>
        <w:t xml:space="preserve"> </w:t>
      </w:r>
      <w:proofErr w:type="spellStart"/>
      <w:r w:rsidR="00182797" w:rsidRPr="000D5396">
        <w:rPr>
          <w:sz w:val="20"/>
          <w:szCs w:val="20"/>
        </w:rPr>
        <w:t>Technical</w:t>
      </w:r>
      <w:proofErr w:type="spellEnd"/>
      <w:r w:rsidR="00182797" w:rsidRPr="000D5396">
        <w:rPr>
          <w:sz w:val="20"/>
          <w:szCs w:val="20"/>
        </w:rPr>
        <w:t xml:space="preserve"> </w:t>
      </w:r>
      <w:proofErr w:type="spellStart"/>
      <w:r w:rsidR="00182797" w:rsidRPr="000D5396">
        <w:rPr>
          <w:sz w:val="20"/>
          <w:szCs w:val="20"/>
        </w:rPr>
        <w:t>Sciences</w:t>
      </w:r>
      <w:proofErr w:type="spellEnd"/>
      <w:r w:rsidR="00182797">
        <w:rPr>
          <w:sz w:val="20"/>
          <w:szCs w:val="20"/>
        </w:rPr>
        <w:t xml:space="preserve"> </w:t>
      </w:r>
      <w:r w:rsidR="00CB5BAB">
        <w:rPr>
          <w:sz w:val="20"/>
          <w:szCs w:val="20"/>
          <w:lang w:val="en-US"/>
        </w:rPr>
        <w:t>(</w:t>
      </w:r>
      <w:proofErr w:type="spellStart"/>
      <w:r w:rsidR="00CB5BAB">
        <w:rPr>
          <w:sz w:val="20"/>
          <w:szCs w:val="20"/>
          <w:lang w:val="en-US"/>
        </w:rPr>
        <w:t>DonNTU</w:t>
      </w:r>
      <w:proofErr w:type="spellEnd"/>
      <w:r w:rsidR="00CB5BAB">
        <w:rPr>
          <w:sz w:val="20"/>
          <w:szCs w:val="20"/>
          <w:lang w:val="en-US"/>
        </w:rPr>
        <w:t>)</w:t>
      </w:r>
    </w:p>
    <w:p w:rsidR="00DF197B" w:rsidRDefault="00DF197B" w:rsidP="00D534FB">
      <w:pPr>
        <w:spacing w:after="0"/>
        <w:jc w:val="center"/>
        <w:rPr>
          <w:sz w:val="20"/>
          <w:szCs w:val="20"/>
          <w:lang w:val="en-US"/>
        </w:rPr>
      </w:pPr>
    </w:p>
    <w:p w:rsidR="00DF197B" w:rsidRDefault="008A0829" w:rsidP="00FC5B7D">
      <w:pPr>
        <w:spacing w:after="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 xml:space="preserve">     </w:t>
      </w:r>
      <w:r w:rsidR="00DF197B" w:rsidRPr="00DF197B">
        <w:rPr>
          <w:i/>
          <w:sz w:val="20"/>
          <w:szCs w:val="20"/>
          <w:lang w:val="en-US"/>
        </w:rPr>
        <w:t xml:space="preserve">An improved technology of reagent wastewater </w:t>
      </w:r>
      <w:r w:rsidR="00DF197B">
        <w:rPr>
          <w:i/>
          <w:sz w:val="20"/>
          <w:szCs w:val="20"/>
          <w:lang w:val="en-US"/>
        </w:rPr>
        <w:t xml:space="preserve">after </w:t>
      </w:r>
      <w:r w:rsidR="00DF197B" w:rsidRPr="00DF197B">
        <w:rPr>
          <w:i/>
          <w:sz w:val="20"/>
          <w:szCs w:val="20"/>
          <w:lang w:val="en-US"/>
        </w:rPr>
        <w:t>purification before wet coke quenching has been implemented. The difference of the proposed scheme of purification of phenolic-ammonia waters is the continuity of the technological process. The optimal values of coagulant consumption and the content of Al</w:t>
      </w:r>
      <w:r w:rsidR="00DF197B" w:rsidRPr="00DF197B">
        <w:rPr>
          <w:i/>
          <w:sz w:val="20"/>
          <w:szCs w:val="20"/>
          <w:vertAlign w:val="subscript"/>
          <w:lang w:val="en-US"/>
        </w:rPr>
        <w:t>2</w:t>
      </w:r>
      <w:r w:rsidR="00DF197B" w:rsidRPr="00DF197B">
        <w:rPr>
          <w:i/>
          <w:sz w:val="20"/>
          <w:szCs w:val="20"/>
          <w:lang w:val="en-US"/>
        </w:rPr>
        <w:t xml:space="preserve"> (SO</w:t>
      </w:r>
      <w:r w:rsidR="00DF197B" w:rsidRPr="00DF197B">
        <w:rPr>
          <w:i/>
          <w:sz w:val="20"/>
          <w:szCs w:val="20"/>
          <w:vertAlign w:val="subscript"/>
          <w:lang w:val="en-US"/>
        </w:rPr>
        <w:t>4</w:t>
      </w:r>
      <w:r w:rsidR="00DF197B">
        <w:rPr>
          <w:i/>
          <w:sz w:val="20"/>
          <w:szCs w:val="20"/>
          <w:lang w:val="en-US"/>
        </w:rPr>
        <w:t>)</w:t>
      </w:r>
      <w:proofErr w:type="gramStart"/>
      <w:r w:rsidR="00DF197B" w:rsidRPr="00DF197B">
        <w:rPr>
          <w:i/>
          <w:sz w:val="20"/>
          <w:szCs w:val="20"/>
          <w:vertAlign w:val="subscript"/>
          <w:lang w:val="en-US"/>
        </w:rPr>
        <w:t xml:space="preserve">3 </w:t>
      </w:r>
      <w:r w:rsidR="00DF197B">
        <w:rPr>
          <w:i/>
          <w:sz w:val="20"/>
          <w:szCs w:val="20"/>
          <w:lang w:val="en-US"/>
        </w:rPr>
        <w:t xml:space="preserve"> </w:t>
      </w:r>
      <w:r w:rsidR="00DF197B" w:rsidRPr="00DF197B">
        <w:rPr>
          <w:i/>
          <w:sz w:val="20"/>
          <w:szCs w:val="20"/>
          <w:lang w:val="en-US"/>
        </w:rPr>
        <w:t>in</w:t>
      </w:r>
      <w:proofErr w:type="gramEnd"/>
      <w:r w:rsidR="00DF197B" w:rsidRPr="00DF197B">
        <w:rPr>
          <w:i/>
          <w:sz w:val="20"/>
          <w:szCs w:val="20"/>
          <w:lang w:val="en-US"/>
        </w:rPr>
        <w:t xml:space="preserve"> the coagulant complex for each pollutant were calculated</w:t>
      </w:r>
      <w:r w:rsidR="00DF197B">
        <w:rPr>
          <w:i/>
          <w:sz w:val="20"/>
          <w:szCs w:val="20"/>
          <w:lang w:val="en-US"/>
        </w:rPr>
        <w:t xml:space="preserve">. </w:t>
      </w:r>
    </w:p>
    <w:p w:rsidR="00CB5BAB" w:rsidRPr="00CB5BAB" w:rsidRDefault="00FC5B7D" w:rsidP="00FC5B7D">
      <w:pPr>
        <w:spacing w:after="0"/>
        <w:jc w:val="both"/>
        <w:rPr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Key</w:t>
      </w:r>
      <w:r w:rsidRPr="00FC5B7D">
        <w:rPr>
          <w:b/>
          <w:i/>
          <w:sz w:val="20"/>
          <w:szCs w:val="20"/>
          <w:lang w:val="en-US"/>
        </w:rPr>
        <w:t>words</w:t>
      </w:r>
      <w:r w:rsidRPr="00FC5B7D">
        <w:rPr>
          <w:i/>
          <w:sz w:val="20"/>
          <w:szCs w:val="20"/>
          <w:lang w:val="en-US"/>
        </w:rPr>
        <w:t xml:space="preserve">: </w:t>
      </w:r>
      <w:r w:rsidR="00FC56D5" w:rsidRPr="00FC56D5">
        <w:rPr>
          <w:i/>
          <w:sz w:val="20"/>
          <w:szCs w:val="20"/>
          <w:lang w:val="en-US"/>
        </w:rPr>
        <w:t>wastewater, reagent</w:t>
      </w:r>
      <w:r w:rsidRPr="00FC5B7D">
        <w:rPr>
          <w:i/>
          <w:sz w:val="20"/>
          <w:szCs w:val="20"/>
          <w:lang w:val="en-US"/>
        </w:rPr>
        <w:t xml:space="preserve">, coagulation, flocculation, </w:t>
      </w:r>
      <w:r w:rsidR="00FC56D5" w:rsidRPr="00FC56D5">
        <w:rPr>
          <w:i/>
          <w:sz w:val="20"/>
          <w:szCs w:val="20"/>
          <w:lang w:val="en-US"/>
        </w:rPr>
        <w:t>coagulator-settler</w:t>
      </w:r>
    </w:p>
    <w:sectPr w:rsidR="00CB5BAB" w:rsidRPr="00CB5BAB" w:rsidSect="007C04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7F"/>
    <w:rsid w:val="00091099"/>
    <w:rsid w:val="000D2CCC"/>
    <w:rsid w:val="00136848"/>
    <w:rsid w:val="00182797"/>
    <w:rsid w:val="001A47A6"/>
    <w:rsid w:val="0023356B"/>
    <w:rsid w:val="00282683"/>
    <w:rsid w:val="002D0BC6"/>
    <w:rsid w:val="002E3034"/>
    <w:rsid w:val="003963E0"/>
    <w:rsid w:val="004C1BD2"/>
    <w:rsid w:val="004C1F42"/>
    <w:rsid w:val="005F2B91"/>
    <w:rsid w:val="00617F2D"/>
    <w:rsid w:val="00633240"/>
    <w:rsid w:val="00642D6F"/>
    <w:rsid w:val="0068172B"/>
    <w:rsid w:val="00696B06"/>
    <w:rsid w:val="007C047F"/>
    <w:rsid w:val="008A0829"/>
    <w:rsid w:val="0093447C"/>
    <w:rsid w:val="009832E4"/>
    <w:rsid w:val="00B46C74"/>
    <w:rsid w:val="00B710AE"/>
    <w:rsid w:val="00B75638"/>
    <w:rsid w:val="00BE6E42"/>
    <w:rsid w:val="00CB5BAB"/>
    <w:rsid w:val="00D534FB"/>
    <w:rsid w:val="00DF197B"/>
    <w:rsid w:val="00E83030"/>
    <w:rsid w:val="00FC56D5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47F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C047F"/>
    <w:rPr>
      <w:rFonts w:eastAsia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826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332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5B7D"/>
    <w:pPr>
      <w:ind w:left="720"/>
      <w:contextualSpacing/>
    </w:pPr>
  </w:style>
  <w:style w:type="paragraph" w:customStyle="1" w:styleId="1">
    <w:name w:val="Основной текст1"/>
    <w:basedOn w:val="a"/>
    <w:rsid w:val="00136848"/>
    <w:pPr>
      <w:widowControl w:val="0"/>
      <w:shd w:val="clear" w:color="auto" w:fill="FFFFFF"/>
      <w:spacing w:before="1620" w:after="0" w:line="214" w:lineRule="exact"/>
      <w:jc w:val="both"/>
    </w:pPr>
    <w:rPr>
      <w:rFonts w:eastAsia="Times New Roman"/>
      <w:color w:val="00000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47F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C047F"/>
    <w:rPr>
      <w:rFonts w:eastAsia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826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332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5B7D"/>
    <w:pPr>
      <w:ind w:left="720"/>
      <w:contextualSpacing/>
    </w:pPr>
  </w:style>
  <w:style w:type="paragraph" w:customStyle="1" w:styleId="1">
    <w:name w:val="Основной текст1"/>
    <w:basedOn w:val="a"/>
    <w:rsid w:val="00136848"/>
    <w:pPr>
      <w:widowControl w:val="0"/>
      <w:shd w:val="clear" w:color="auto" w:fill="FFFFFF"/>
      <w:spacing w:before="1620" w:after="0" w:line="214" w:lineRule="exact"/>
      <w:jc w:val="both"/>
    </w:pPr>
    <w:rPr>
      <w:rFonts w:eastAsia="Times New Roman"/>
      <w:color w:val="00000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2021-02-27T17:24:00Z</dcterms:created>
  <dcterms:modified xsi:type="dcterms:W3CDTF">2021-02-27T19:53:00Z</dcterms:modified>
</cp:coreProperties>
</file>