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8B" w:rsidRPr="005650E8" w:rsidRDefault="00F00A8B" w:rsidP="00F00A8B">
      <w:pPr>
        <w:widowControl w:val="0"/>
      </w:pPr>
      <w:r w:rsidRPr="002D27E6">
        <w:t>ЗУЙКОВ Р.П., ст.гр. МО 04-б</w:t>
      </w:r>
    </w:p>
    <w:p w:rsidR="00F00A8B" w:rsidRPr="005650E8" w:rsidRDefault="00F00A8B" w:rsidP="00F00A8B">
      <w:pPr>
        <w:widowControl w:val="0"/>
      </w:pPr>
      <w:r w:rsidRPr="005650E8">
        <w:t>Науч. руков.: Гришина Ю.В.</w:t>
      </w:r>
      <w:r>
        <w:t>, асс.</w:t>
      </w:r>
    </w:p>
    <w:p w:rsidR="00F00A8B" w:rsidRDefault="00F00A8B" w:rsidP="00F00A8B">
      <w:pPr>
        <w:widowControl w:val="0"/>
        <w:rPr>
          <w:lang w:val="uk-UA"/>
        </w:rPr>
      </w:pPr>
      <w:r w:rsidRPr="005650E8">
        <w:t>Автомобильно-дорожный институт Г</w:t>
      </w:r>
      <w:r>
        <w:rPr>
          <w:lang w:val="uk-UA"/>
        </w:rPr>
        <w:t>осударственное в</w:t>
      </w:r>
      <w:r>
        <w:t>ы</w:t>
      </w:r>
      <w:r>
        <w:rPr>
          <w:lang w:val="uk-UA"/>
        </w:rPr>
        <w:t>сшее учебное заведение</w:t>
      </w:r>
    </w:p>
    <w:p w:rsidR="00F00A8B" w:rsidRPr="005650E8" w:rsidRDefault="00F00A8B" w:rsidP="00F00A8B">
      <w:pPr>
        <w:widowControl w:val="0"/>
      </w:pPr>
      <w:r w:rsidRPr="005650E8">
        <w:t>«Дон</w:t>
      </w:r>
      <w:r>
        <w:t>ецкий национальный технический университет</w:t>
      </w:r>
      <w:r w:rsidRPr="005650E8">
        <w:t>»</w:t>
      </w:r>
      <w:r>
        <w:t>,</w:t>
      </w:r>
    </w:p>
    <w:p w:rsidR="00F00A8B" w:rsidRPr="005650E8" w:rsidRDefault="00F00A8B" w:rsidP="00F00A8B">
      <w:pPr>
        <w:widowControl w:val="0"/>
      </w:pPr>
      <w:r w:rsidRPr="005650E8">
        <w:t>г. Горловка</w:t>
      </w:r>
    </w:p>
    <w:p w:rsidR="00F00A8B" w:rsidRPr="005650E8" w:rsidRDefault="00F00A8B" w:rsidP="00F00A8B">
      <w:pPr>
        <w:widowControl w:val="0"/>
      </w:pPr>
    </w:p>
    <w:p w:rsidR="00F00A8B" w:rsidRPr="005650E8" w:rsidRDefault="00F00A8B" w:rsidP="00F00A8B">
      <w:pPr>
        <w:widowControl w:val="0"/>
        <w:jc w:val="center"/>
        <w:rPr>
          <w:b/>
        </w:rPr>
      </w:pPr>
      <w:r w:rsidRPr="005650E8">
        <w:rPr>
          <w:b/>
        </w:rPr>
        <w:t>НЕКОТОРЫЕ АСПЕКТЫ ФИНАНСОВОГО АНАЛИЗА ДЕЯТЕЛЬНОСТИ КОММЕРЧЕСКИХ БАНКОВ</w:t>
      </w:r>
    </w:p>
    <w:p w:rsidR="00F00A8B" w:rsidRPr="005650E8" w:rsidRDefault="00F00A8B" w:rsidP="00F00A8B">
      <w:pPr>
        <w:widowControl w:val="0"/>
        <w:ind w:firstLine="709"/>
        <w:jc w:val="center"/>
        <w:rPr>
          <w:b/>
        </w:rPr>
      </w:pPr>
    </w:p>
    <w:p w:rsidR="00F00A8B" w:rsidRPr="005650E8" w:rsidRDefault="00F00A8B" w:rsidP="00F00A8B">
      <w:pPr>
        <w:widowControl w:val="0"/>
        <w:ind w:firstLine="709"/>
        <w:jc w:val="both"/>
        <w:rPr>
          <w:i/>
        </w:rPr>
      </w:pPr>
      <w:r w:rsidRPr="005650E8">
        <w:rPr>
          <w:i/>
        </w:rPr>
        <w:t>Определена необходимость финансового анализа деятельности коммерческих банков в условиях экономической нестабильности; рассмотрены основные сценарии проведения такого анализа потенциальными клиентами банков.</w:t>
      </w:r>
    </w:p>
    <w:p w:rsidR="00F00A8B" w:rsidRPr="005650E8" w:rsidRDefault="00F00A8B" w:rsidP="00F00A8B">
      <w:pPr>
        <w:widowControl w:val="0"/>
        <w:ind w:firstLine="709"/>
        <w:jc w:val="both"/>
      </w:pPr>
      <w:r w:rsidRPr="005650E8">
        <w:rPr>
          <w:b/>
        </w:rPr>
        <w:t>Актуальность.</w:t>
      </w:r>
      <w:r w:rsidRPr="005650E8">
        <w:t xml:space="preserve"> В современных условиях, с уменьшением ценности национальной валюты и ростом инфляции, наиболее выгодным является хранение свободных денежных средств в форме банковских депозитов. При этом, наблюдается снижение доверия населения к банковским учреждениям. В подобных условиях необходимо выделить те основные показатели банковской деятельности, которые помогут потенциальным потребителям определить более надежные финансовые институты и снизить возможные финансовые риски.</w:t>
      </w:r>
    </w:p>
    <w:p w:rsidR="00F00A8B" w:rsidRPr="005650E8" w:rsidRDefault="00F00A8B" w:rsidP="00F00A8B">
      <w:pPr>
        <w:widowControl w:val="0"/>
        <w:ind w:firstLine="709"/>
        <w:jc w:val="both"/>
      </w:pPr>
      <w:r w:rsidRPr="005650E8">
        <w:rPr>
          <w:b/>
        </w:rPr>
        <w:t>Цель исследования</w:t>
      </w:r>
      <w:r w:rsidRPr="005650E8">
        <w:t>: разработка рекомендаций по универсальной оценке банковской деятельности с целью минимизации финансовых рисков потребителя.</w:t>
      </w:r>
    </w:p>
    <w:p w:rsidR="00F00A8B" w:rsidRPr="005650E8" w:rsidRDefault="00F00A8B" w:rsidP="00F00A8B">
      <w:pPr>
        <w:widowControl w:val="0"/>
        <w:ind w:firstLine="709"/>
        <w:jc w:val="both"/>
      </w:pPr>
      <w:r w:rsidRPr="005650E8">
        <w:rPr>
          <w:b/>
        </w:rPr>
        <w:t xml:space="preserve">Основная часть. </w:t>
      </w:r>
      <w:r w:rsidRPr="005650E8">
        <w:t>Прежде всего, для оценки финансового состояния интересующего банка в условиях большого количества разрозненной и противоречивой информации следует выбрать наиболее релевантную и наиболее достоверную. Среди основных источников здесь следует обозначить: официальные сайты Национального банка Украины, Министерства финансов Украины, отдельных коммерческих банков и т.д.; материалы финансовой отчетности, годовые аудиторские отчеты банков; аналитические статьи в источниках печати, имеющих статус официальных государственных и т.п. Также в данном случае не следует пренебрегать мнениями специалистов, а также возможно мнениями знакомых потребителю клиентов банка, которые заслуживают доверия.</w:t>
      </w:r>
    </w:p>
    <w:p w:rsidR="00F00A8B" w:rsidRPr="005650E8" w:rsidRDefault="00F00A8B" w:rsidP="00F00A8B">
      <w:pPr>
        <w:widowControl w:val="0"/>
        <w:ind w:firstLine="709"/>
        <w:jc w:val="both"/>
      </w:pPr>
      <w:r w:rsidRPr="005650E8">
        <w:t>Далее определяются основные направления, по которым необходимо провести анализ.</w:t>
      </w:r>
    </w:p>
    <w:p w:rsidR="00F00A8B" w:rsidRPr="005650E8" w:rsidRDefault="00F00A8B" w:rsidP="00F00A8B">
      <w:pPr>
        <w:widowControl w:val="0"/>
        <w:ind w:firstLine="709"/>
        <w:jc w:val="both"/>
      </w:pPr>
      <w:r w:rsidRPr="005650E8">
        <w:t>Условно можно выделить 3 этапа в процессе анализа: предварительный, собственно анализ и формулировка результатов.</w:t>
      </w:r>
    </w:p>
    <w:p w:rsidR="00F00A8B" w:rsidRPr="005650E8" w:rsidRDefault="00F00A8B" w:rsidP="00F00A8B">
      <w:pPr>
        <w:widowControl w:val="0"/>
        <w:ind w:firstLine="709"/>
        <w:jc w:val="both"/>
      </w:pPr>
      <w:r w:rsidRPr="005650E8">
        <w:t xml:space="preserve">На предварительном этапе, из полученной информации отбирается та, которая позволяет определить базовые характеристики банка, такие как размер и структура капитала банка (в данном случае, под структурой, кроме стандартного понимания, подразумевается долевое соотношение в общей сумме капитала соответственно национального и иностранного; данный критерий заслуживает особого внимания, поскольку сегодня большим спросом пользуются услуги банков с иностранным капиталом, которые считаются более надежными и конкурентоспособными). Также заслуживают внимание история банка, его владельцы либо основные акционеры, наиболее крупные и влиятельные клиенты и т.п. </w:t>
      </w:r>
    </w:p>
    <w:p w:rsidR="00F00A8B" w:rsidRPr="005650E8" w:rsidRDefault="00F00A8B" w:rsidP="00F00A8B">
      <w:pPr>
        <w:widowControl w:val="0"/>
        <w:ind w:firstLine="709"/>
        <w:jc w:val="both"/>
      </w:pPr>
      <w:r w:rsidRPr="005650E8">
        <w:t>На втором этапе – этапе собственно анализа – предположим два сценария, по которым может происходить деятельность потенциального клиента.</w:t>
      </w:r>
    </w:p>
    <w:p w:rsidR="00F00A8B" w:rsidRPr="005650E8" w:rsidRDefault="00F00A8B" w:rsidP="00F00A8B">
      <w:pPr>
        <w:widowControl w:val="0"/>
        <w:ind w:firstLine="709"/>
        <w:jc w:val="both"/>
      </w:pPr>
      <w:r w:rsidRPr="005650E8">
        <w:t>Первый – более простой, требует меньше затрат времени и труда, однако поэтому более поверхностный и менее надежный. Здесь сущность состоит в просмотре рейтингов банков, сравнительных характеристик сумм капитала, активов и обязательств, показателей эффективности (в частности, прибыльности). На основании полученных результатов, потенциальный потребитель оценивает наиболее выгодный с его точки зрения вариант либо выбирает из нескольких вариантов.</w:t>
      </w:r>
    </w:p>
    <w:p w:rsidR="00F00A8B" w:rsidRPr="005650E8" w:rsidRDefault="00F00A8B" w:rsidP="00F00A8B">
      <w:pPr>
        <w:widowControl w:val="0"/>
        <w:ind w:firstLine="709"/>
        <w:jc w:val="both"/>
      </w:pPr>
      <w:r w:rsidRPr="005650E8">
        <w:lastRenderedPageBreak/>
        <w:t>При выборе конкретных вариантов особое внимание следует уделить тому факту, что наиболее выгодные с точки зрения потребителя варианты вложения средств являются и наиболее рисковыми, поэтому в данном случае является необходимым выбор «усредненного» соотношения доходности-уровня риска.[1]</w:t>
      </w:r>
    </w:p>
    <w:p w:rsidR="00F00A8B" w:rsidRPr="005650E8" w:rsidRDefault="00F00A8B" w:rsidP="00F00A8B">
      <w:pPr>
        <w:widowControl w:val="0"/>
        <w:ind w:firstLine="709"/>
        <w:jc w:val="both"/>
      </w:pPr>
      <w:r w:rsidRPr="005650E8">
        <w:t>Что же касается второго возможного сценария осуществления аналитической деятельности будущим клиентом, то здесь предполагается более основательный подход к проблеме, а именно – анализ показателей ликвидности, платежеспособности, маневренности капитала; оценка экономической эффективности деятельности и т.п. Данный вариант дает более весомые, надежные результаты, однако требует больше временных и трудозатрат [2]</w:t>
      </w:r>
      <w:r>
        <w:t>.</w:t>
      </w:r>
      <w:r w:rsidRPr="005650E8">
        <w:t xml:space="preserve"> Следует также отметить, что для расчета и анализа ряда показателей, потенциальный потребитель должен обладать хотя бы минимальным уровнем знаний в области экономики, то есть данная методика является условно универсальной с данной точки зрения.</w:t>
      </w:r>
    </w:p>
    <w:p w:rsidR="00F00A8B" w:rsidRPr="005650E8" w:rsidRDefault="00F00A8B" w:rsidP="00F00A8B">
      <w:pPr>
        <w:widowControl w:val="0"/>
        <w:ind w:firstLine="709"/>
        <w:jc w:val="both"/>
      </w:pPr>
      <w:r w:rsidRPr="005650E8">
        <w:t>Финансовое состояние коммерческих банков характеризуется достаточностью капитала, качеством активов, ликвидностью баланса, эффективностью деятельности и уровнем управления (менеджментом) банка.</w:t>
      </w:r>
    </w:p>
    <w:p w:rsidR="00F00A8B" w:rsidRPr="005650E8" w:rsidRDefault="00F00A8B" w:rsidP="00F00A8B">
      <w:pPr>
        <w:widowControl w:val="0"/>
        <w:ind w:firstLine="709"/>
        <w:jc w:val="both"/>
      </w:pPr>
      <w:r w:rsidRPr="005650E8">
        <w:t>Капитал коммерческого банка выполняют несколько важных функций в ежедневной деятельности и для обеспечения долгосрочной жизнеспособности банка. Он служит для защиты от банкротства, компенсируя текущие потери до решения возникающих проблем; обеспечивает средства, необходимые для создания, организации и функционирования банка до привлечения достаточного количества депозитов; поддерживает доверие клиентов к банку и убеждает кредиторов в его финансовой силе. Капитал должен быть достаточно велик для обеспечения уверенности заёмщиков в том, что банк способен удовлетворить их потребности в кредитах, даже если экономика переживает спад.</w:t>
      </w:r>
    </w:p>
    <w:p w:rsidR="00F00A8B" w:rsidRPr="005650E8" w:rsidRDefault="00F00A8B" w:rsidP="00F00A8B">
      <w:pPr>
        <w:widowControl w:val="0"/>
        <w:ind w:firstLine="709"/>
        <w:jc w:val="both"/>
      </w:pPr>
      <w:r w:rsidRPr="005650E8">
        <w:t>Качество активов оценивается c точки зрения их возвратности (для кредитного портфеля) и способности своевременно и без потерь обращаться в платёжные средства (для ценных бумаг и основных средств).</w:t>
      </w:r>
    </w:p>
    <w:p w:rsidR="00F00A8B" w:rsidRPr="005650E8" w:rsidRDefault="00F00A8B" w:rsidP="00F00A8B">
      <w:pPr>
        <w:widowControl w:val="0"/>
        <w:ind w:firstLine="709"/>
        <w:jc w:val="both"/>
      </w:pPr>
      <w:r w:rsidRPr="005650E8">
        <w:t>Так как выдача ссуд составляет основу активных операций банка, то они (по мере возвращения) являются и основным источником для погашения обязательств перед клиентами. Поэтому затруднения при возврате средств банку могут вызвать наиболее серьёзные сбои в его работе. Таким образом, надёжность банка во многом будет определяться двумя величинами - размером кредитного портфеля (как основного источника риска) и объёмом просроченной зад</w:t>
      </w:r>
      <w:r>
        <w:t>олженности (потерянные активы).</w:t>
      </w:r>
    </w:p>
    <w:p w:rsidR="00F00A8B" w:rsidRPr="005650E8" w:rsidRDefault="00F00A8B" w:rsidP="00F00A8B">
      <w:pPr>
        <w:widowControl w:val="0"/>
        <w:ind w:firstLine="709"/>
        <w:jc w:val="both"/>
      </w:pPr>
      <w:r w:rsidRPr="005650E8">
        <w:t>Ликвидность оценивается на основе способности превращать свои активы в денежные средства или другие платёжные средства для оплаты предъявляемых обязательств в случае, если имеющихся в наличии платёжных средств для этого не хватает.</w:t>
      </w:r>
    </w:p>
    <w:p w:rsidR="00F00A8B" w:rsidRPr="005650E8" w:rsidRDefault="00F00A8B" w:rsidP="00F00A8B">
      <w:pPr>
        <w:widowControl w:val="0"/>
        <w:ind w:firstLine="709"/>
        <w:jc w:val="both"/>
      </w:pPr>
      <w:r w:rsidRPr="005650E8">
        <w:t>Эффективность банка выражается в уровне его доходности и отражает положительный совокупный результат работы банка во всех сферах его хозяйственно-финансовой и коммерческой деятельности. За счет доходов банка покрываются все его операционные расходы, включая административно-управленческие, формируется прибыль банка, размер которой определяет уровень дивидендов, увеличение собственных средств и развитие пассивных и активных операций.</w:t>
      </w:r>
    </w:p>
    <w:p w:rsidR="00F00A8B" w:rsidRPr="005650E8" w:rsidRDefault="00F00A8B" w:rsidP="00F00A8B">
      <w:pPr>
        <w:widowControl w:val="0"/>
        <w:ind w:firstLine="709"/>
        <w:jc w:val="both"/>
      </w:pPr>
      <w:r w:rsidRPr="005650E8">
        <w:t>Доходность банка является результатом оптимальной структуры его баланса как в части активов, так и пассивов, целевой направленности в деятельности банковского персонала в этом направлении. [</w:t>
      </w:r>
      <w:r>
        <w:t>3</w:t>
      </w:r>
      <w:r w:rsidRPr="005650E8">
        <w:t>]</w:t>
      </w:r>
    </w:p>
    <w:p w:rsidR="00F00A8B" w:rsidRPr="005650E8" w:rsidRDefault="00F00A8B" w:rsidP="00F00A8B">
      <w:pPr>
        <w:widowControl w:val="0"/>
        <w:ind w:firstLine="709"/>
        <w:jc w:val="both"/>
      </w:pPr>
      <w:r w:rsidRPr="005650E8">
        <w:t>Что же касается расчетных операций, если такие проводятся, то наиболее популярные коэффициенты и методология их расчета приведены в таблице 1. [5]</w:t>
      </w:r>
    </w:p>
    <w:p w:rsidR="00F00A8B" w:rsidRDefault="00F00A8B" w:rsidP="00F00A8B">
      <w:pPr>
        <w:widowControl w:val="0"/>
        <w:ind w:left="1620" w:hanging="1620"/>
        <w:jc w:val="both"/>
      </w:pPr>
    </w:p>
    <w:p w:rsidR="00F00A8B" w:rsidRPr="005650E8" w:rsidRDefault="00F00A8B" w:rsidP="00F00A8B">
      <w:pPr>
        <w:widowControl w:val="0"/>
        <w:ind w:left="1620" w:hanging="1620"/>
        <w:jc w:val="both"/>
      </w:pPr>
      <w:r w:rsidRPr="005650E8">
        <w:t>Таблица 1 – Примеры расчетных коэффициентов для определения финансового состояния банка</w:t>
      </w:r>
    </w:p>
    <w:tbl>
      <w:tblPr>
        <w:tblW w:w="9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6"/>
        <w:gridCol w:w="2935"/>
        <w:gridCol w:w="2477"/>
        <w:gridCol w:w="1663"/>
      </w:tblGrid>
      <w:tr w:rsidR="00F00A8B" w:rsidRPr="005650E8" w:rsidTr="00A00215">
        <w:trPr>
          <w:trHeight w:val="255"/>
          <w:jc w:val="center"/>
        </w:trPr>
        <w:tc>
          <w:tcPr>
            <w:tcW w:w="1966" w:type="dxa"/>
            <w:noWrap/>
            <w:vAlign w:val="center"/>
          </w:tcPr>
          <w:p w:rsidR="00F00A8B" w:rsidRPr="005650E8" w:rsidRDefault="00F00A8B" w:rsidP="00A00215">
            <w:pPr>
              <w:widowControl w:val="0"/>
              <w:jc w:val="center"/>
            </w:pPr>
            <w:r w:rsidRPr="005650E8">
              <w:lastRenderedPageBreak/>
              <w:t>Показатель</w:t>
            </w:r>
          </w:p>
        </w:tc>
        <w:tc>
          <w:tcPr>
            <w:tcW w:w="2935" w:type="dxa"/>
            <w:noWrap/>
            <w:vAlign w:val="center"/>
          </w:tcPr>
          <w:p w:rsidR="00F00A8B" w:rsidRPr="005650E8" w:rsidRDefault="00F00A8B" w:rsidP="00A00215">
            <w:pPr>
              <w:widowControl w:val="0"/>
              <w:jc w:val="center"/>
            </w:pPr>
            <w:r w:rsidRPr="005650E8">
              <w:t>Что характеризует</w:t>
            </w:r>
          </w:p>
        </w:tc>
        <w:tc>
          <w:tcPr>
            <w:tcW w:w="2477" w:type="dxa"/>
            <w:noWrap/>
            <w:vAlign w:val="center"/>
          </w:tcPr>
          <w:p w:rsidR="00F00A8B" w:rsidRPr="005650E8" w:rsidRDefault="00F00A8B" w:rsidP="00A00215">
            <w:pPr>
              <w:widowControl w:val="0"/>
              <w:jc w:val="center"/>
            </w:pPr>
            <w:r w:rsidRPr="005650E8">
              <w:t>Порядок расчета</w:t>
            </w:r>
          </w:p>
        </w:tc>
        <w:tc>
          <w:tcPr>
            <w:tcW w:w="1663" w:type="dxa"/>
            <w:noWrap/>
            <w:vAlign w:val="center"/>
          </w:tcPr>
          <w:p w:rsidR="00F00A8B" w:rsidRPr="005650E8" w:rsidRDefault="00F00A8B" w:rsidP="00A00215">
            <w:pPr>
              <w:widowControl w:val="0"/>
              <w:jc w:val="center"/>
            </w:pPr>
            <w:r w:rsidRPr="005650E8">
              <w:t>Оптимальное значение</w:t>
            </w:r>
          </w:p>
        </w:tc>
      </w:tr>
      <w:tr w:rsidR="00F00A8B" w:rsidRPr="005650E8" w:rsidTr="00A00215">
        <w:trPr>
          <w:trHeight w:val="1016"/>
          <w:jc w:val="center"/>
        </w:trPr>
        <w:tc>
          <w:tcPr>
            <w:tcW w:w="1966" w:type="dxa"/>
            <w:noWrap/>
          </w:tcPr>
          <w:p w:rsidR="00F00A8B" w:rsidRPr="005650E8" w:rsidRDefault="00F00A8B" w:rsidP="00A00215">
            <w:pPr>
              <w:widowControl w:val="0"/>
            </w:pPr>
            <w:r w:rsidRPr="005650E8">
              <w:t>Коэффициент фондовой капитализации</w:t>
            </w:r>
          </w:p>
        </w:tc>
        <w:tc>
          <w:tcPr>
            <w:tcW w:w="2935" w:type="dxa"/>
            <w:noWrap/>
          </w:tcPr>
          <w:p w:rsidR="00F00A8B" w:rsidRPr="005650E8" w:rsidRDefault="00F00A8B" w:rsidP="00A00215">
            <w:pPr>
              <w:widowControl w:val="0"/>
            </w:pPr>
            <w:r w:rsidRPr="005650E8">
              <w:t>Отображает возможность банка наращивать капитал за счет прибыли</w:t>
            </w:r>
          </w:p>
        </w:tc>
        <w:tc>
          <w:tcPr>
            <w:tcW w:w="2477" w:type="dxa"/>
            <w:noWrap/>
          </w:tcPr>
          <w:p w:rsidR="00F00A8B" w:rsidRPr="005650E8" w:rsidRDefault="00F00A8B" w:rsidP="00A00215">
            <w:pPr>
              <w:widowControl w:val="0"/>
            </w:pPr>
            <w:r w:rsidRPr="005650E8">
              <w:t>Отношение уставного капитала к капиталу</w:t>
            </w:r>
          </w:p>
        </w:tc>
        <w:tc>
          <w:tcPr>
            <w:tcW w:w="1663" w:type="dxa"/>
            <w:noWrap/>
          </w:tcPr>
          <w:p w:rsidR="00F00A8B" w:rsidRPr="005650E8" w:rsidRDefault="00F00A8B" w:rsidP="00A00215">
            <w:pPr>
              <w:widowControl w:val="0"/>
              <w:jc w:val="center"/>
            </w:pPr>
            <w:r w:rsidRPr="005650E8">
              <w:t>Не менее 65%</w:t>
            </w:r>
          </w:p>
        </w:tc>
      </w:tr>
      <w:tr w:rsidR="00F00A8B" w:rsidRPr="005650E8" w:rsidTr="00A00215">
        <w:trPr>
          <w:trHeight w:val="1254"/>
          <w:jc w:val="center"/>
        </w:trPr>
        <w:tc>
          <w:tcPr>
            <w:tcW w:w="1966" w:type="dxa"/>
            <w:noWrap/>
          </w:tcPr>
          <w:p w:rsidR="00F00A8B" w:rsidRPr="005650E8" w:rsidRDefault="00F00A8B" w:rsidP="00A00215">
            <w:pPr>
              <w:widowControl w:val="0"/>
            </w:pPr>
            <w:r w:rsidRPr="005650E8">
              <w:t>Коэффициент рискованности кредитной политики</w:t>
            </w:r>
          </w:p>
        </w:tc>
        <w:tc>
          <w:tcPr>
            <w:tcW w:w="2935" w:type="dxa"/>
            <w:noWrap/>
          </w:tcPr>
          <w:p w:rsidR="00F00A8B" w:rsidRPr="005650E8" w:rsidRDefault="00F00A8B" w:rsidP="00A00215">
            <w:pPr>
              <w:widowControl w:val="0"/>
            </w:pPr>
            <w:r w:rsidRPr="005650E8">
              <w:t>Характеризует рискованность кредитной политики</w:t>
            </w:r>
          </w:p>
        </w:tc>
        <w:tc>
          <w:tcPr>
            <w:tcW w:w="2477" w:type="dxa"/>
            <w:noWrap/>
          </w:tcPr>
          <w:p w:rsidR="00F00A8B" w:rsidRPr="005650E8" w:rsidRDefault="00F00A8B" w:rsidP="00A00215">
            <w:pPr>
              <w:widowControl w:val="0"/>
            </w:pPr>
            <w:r w:rsidRPr="005650E8">
              <w:t>Отношение выданных срочных кредитов к капиталу</w:t>
            </w:r>
          </w:p>
        </w:tc>
        <w:tc>
          <w:tcPr>
            <w:tcW w:w="1663" w:type="dxa"/>
            <w:noWrap/>
          </w:tcPr>
          <w:p w:rsidR="00F00A8B" w:rsidRPr="005650E8" w:rsidRDefault="00F00A8B" w:rsidP="00A00215">
            <w:pPr>
              <w:widowControl w:val="0"/>
              <w:jc w:val="center"/>
            </w:pPr>
            <w:r w:rsidRPr="005650E8">
              <w:t>300-500%</w:t>
            </w:r>
          </w:p>
        </w:tc>
      </w:tr>
      <w:tr w:rsidR="00F00A8B" w:rsidRPr="005650E8" w:rsidTr="00A00215">
        <w:trPr>
          <w:trHeight w:val="1531"/>
          <w:jc w:val="center"/>
        </w:trPr>
        <w:tc>
          <w:tcPr>
            <w:tcW w:w="1966" w:type="dxa"/>
            <w:noWrap/>
          </w:tcPr>
          <w:p w:rsidR="00F00A8B" w:rsidRPr="005650E8" w:rsidRDefault="00F00A8B" w:rsidP="00A00215">
            <w:pPr>
              <w:widowControl w:val="0"/>
            </w:pPr>
            <w:r w:rsidRPr="005650E8">
              <w:t>Коэффициент клиентской базы</w:t>
            </w:r>
          </w:p>
        </w:tc>
        <w:tc>
          <w:tcPr>
            <w:tcW w:w="2935" w:type="dxa"/>
            <w:noWrap/>
          </w:tcPr>
          <w:p w:rsidR="00F00A8B" w:rsidRPr="005650E8" w:rsidRDefault="00F00A8B" w:rsidP="00A00215">
            <w:pPr>
              <w:widowControl w:val="0"/>
            </w:pPr>
            <w:r w:rsidRPr="005650E8">
              <w:t>Показывает степень доверия к банку и доступность для банка максимально дешевых ресурсов</w:t>
            </w:r>
          </w:p>
        </w:tc>
        <w:tc>
          <w:tcPr>
            <w:tcW w:w="2477" w:type="dxa"/>
            <w:noWrap/>
          </w:tcPr>
          <w:p w:rsidR="00F00A8B" w:rsidRPr="005650E8" w:rsidRDefault="00F00A8B" w:rsidP="00A00215">
            <w:pPr>
              <w:widowControl w:val="0"/>
            </w:pPr>
            <w:r w:rsidRPr="005650E8">
              <w:t>Отношение остатков на клиентских счетах до востребования к суммы обязательств банка</w:t>
            </w:r>
          </w:p>
        </w:tc>
        <w:tc>
          <w:tcPr>
            <w:tcW w:w="1663" w:type="dxa"/>
            <w:noWrap/>
          </w:tcPr>
          <w:p w:rsidR="00F00A8B" w:rsidRPr="005650E8" w:rsidRDefault="00F00A8B" w:rsidP="00A00215">
            <w:pPr>
              <w:widowControl w:val="0"/>
              <w:jc w:val="center"/>
            </w:pPr>
            <w:r w:rsidRPr="005650E8">
              <w:t>Не менее 20%</w:t>
            </w:r>
          </w:p>
        </w:tc>
      </w:tr>
      <w:tr w:rsidR="00F00A8B" w:rsidRPr="005650E8" w:rsidTr="00A00215">
        <w:trPr>
          <w:trHeight w:val="964"/>
          <w:jc w:val="center"/>
        </w:trPr>
        <w:tc>
          <w:tcPr>
            <w:tcW w:w="1966" w:type="dxa"/>
            <w:noWrap/>
          </w:tcPr>
          <w:p w:rsidR="00F00A8B" w:rsidRPr="005650E8" w:rsidRDefault="00F00A8B" w:rsidP="00A00215">
            <w:pPr>
              <w:widowControl w:val="0"/>
            </w:pPr>
            <w:r w:rsidRPr="005650E8">
              <w:t>Коэффициент срочных депозитов</w:t>
            </w:r>
          </w:p>
        </w:tc>
        <w:tc>
          <w:tcPr>
            <w:tcW w:w="2935" w:type="dxa"/>
            <w:noWrap/>
          </w:tcPr>
          <w:p w:rsidR="00F00A8B" w:rsidRPr="005650E8" w:rsidRDefault="00F00A8B" w:rsidP="00A00215">
            <w:pPr>
              <w:widowControl w:val="0"/>
            </w:pPr>
            <w:r w:rsidRPr="005650E8">
              <w:t>Характеризует уровень минимизации риска устойчивости</w:t>
            </w:r>
          </w:p>
        </w:tc>
        <w:tc>
          <w:tcPr>
            <w:tcW w:w="2477" w:type="dxa"/>
            <w:noWrap/>
          </w:tcPr>
          <w:p w:rsidR="00F00A8B" w:rsidRPr="005650E8" w:rsidRDefault="00F00A8B" w:rsidP="00A00215">
            <w:pPr>
              <w:widowControl w:val="0"/>
            </w:pPr>
            <w:r w:rsidRPr="005650E8">
              <w:t>Отношение срочных депозитов к чистым обязательствам банка</w:t>
            </w:r>
          </w:p>
        </w:tc>
        <w:tc>
          <w:tcPr>
            <w:tcW w:w="1663" w:type="dxa"/>
            <w:noWrap/>
          </w:tcPr>
          <w:p w:rsidR="00F00A8B" w:rsidRPr="005650E8" w:rsidRDefault="00F00A8B" w:rsidP="00A00215">
            <w:pPr>
              <w:widowControl w:val="0"/>
              <w:jc w:val="center"/>
            </w:pPr>
            <w:r w:rsidRPr="005650E8">
              <w:t>20-45%</w:t>
            </w:r>
          </w:p>
        </w:tc>
      </w:tr>
      <w:tr w:rsidR="00F00A8B" w:rsidRPr="005650E8" w:rsidTr="00A00215">
        <w:trPr>
          <w:trHeight w:val="1531"/>
          <w:jc w:val="center"/>
        </w:trPr>
        <w:tc>
          <w:tcPr>
            <w:tcW w:w="1966" w:type="dxa"/>
            <w:noWrap/>
          </w:tcPr>
          <w:p w:rsidR="00F00A8B" w:rsidRPr="005650E8" w:rsidRDefault="00F00A8B" w:rsidP="00A00215">
            <w:pPr>
              <w:widowControl w:val="0"/>
            </w:pPr>
            <w:r w:rsidRPr="005650E8">
              <w:t>Коэффициент покрытия депозитов физ. лиц</w:t>
            </w:r>
          </w:p>
        </w:tc>
        <w:tc>
          <w:tcPr>
            <w:tcW w:w="2935" w:type="dxa"/>
            <w:noWrap/>
          </w:tcPr>
          <w:p w:rsidR="00F00A8B" w:rsidRPr="005650E8" w:rsidRDefault="00F00A8B" w:rsidP="00A00215">
            <w:pPr>
              <w:widowControl w:val="0"/>
            </w:pPr>
            <w:r w:rsidRPr="005650E8">
              <w:t>Определяет способность банка рассчитаться с вкладчиками – физ. лицами за счет собственного капитала</w:t>
            </w:r>
          </w:p>
        </w:tc>
        <w:tc>
          <w:tcPr>
            <w:tcW w:w="2477" w:type="dxa"/>
            <w:noWrap/>
          </w:tcPr>
          <w:p w:rsidR="00F00A8B" w:rsidRPr="005650E8" w:rsidRDefault="00F00A8B" w:rsidP="00A00215">
            <w:pPr>
              <w:widowControl w:val="0"/>
            </w:pPr>
            <w:r w:rsidRPr="005650E8">
              <w:t>Отношение депозитов физ.лиц к капиталу банка</w:t>
            </w:r>
          </w:p>
        </w:tc>
        <w:tc>
          <w:tcPr>
            <w:tcW w:w="1663" w:type="dxa"/>
            <w:noWrap/>
          </w:tcPr>
          <w:p w:rsidR="00F00A8B" w:rsidRPr="005650E8" w:rsidRDefault="00F00A8B" w:rsidP="00A00215">
            <w:pPr>
              <w:widowControl w:val="0"/>
              <w:jc w:val="center"/>
            </w:pPr>
            <w:r w:rsidRPr="005650E8">
              <w:t>100-300%</w:t>
            </w:r>
          </w:p>
        </w:tc>
      </w:tr>
    </w:tbl>
    <w:p w:rsidR="00F00A8B" w:rsidRPr="005650E8" w:rsidRDefault="00F00A8B" w:rsidP="00F00A8B">
      <w:pPr>
        <w:widowControl w:val="0"/>
        <w:ind w:firstLine="709"/>
        <w:jc w:val="both"/>
      </w:pPr>
    </w:p>
    <w:p w:rsidR="00F00A8B" w:rsidRPr="005650E8" w:rsidRDefault="00F00A8B" w:rsidP="00F00A8B">
      <w:pPr>
        <w:widowControl w:val="0"/>
        <w:ind w:firstLine="709"/>
        <w:jc w:val="both"/>
      </w:pPr>
      <w:r w:rsidRPr="005650E8">
        <w:rPr>
          <w:b/>
        </w:rPr>
        <w:t>Выводы.</w:t>
      </w:r>
      <w:r w:rsidRPr="005650E8">
        <w:t xml:space="preserve"> Таким образом, в современных условиях потенциальный потребитель банковского учреждения для определения «точки равновесия» между уровнем желаемого дохода и риска должен провести оценку финансового состояния конкурирующих на национальном рынке банковских учреждений.</w:t>
      </w:r>
    </w:p>
    <w:p w:rsidR="00F00A8B" w:rsidRPr="005650E8" w:rsidRDefault="00F00A8B" w:rsidP="00F00A8B">
      <w:pPr>
        <w:widowControl w:val="0"/>
        <w:ind w:firstLine="709"/>
        <w:jc w:val="both"/>
      </w:pPr>
      <w:r w:rsidRPr="005650E8">
        <w:t>При этом возможны различные подходы к подобной оценке, такие как ознакомление с имеющимися аналитическими материалами, анализ статистической информации, отчетности, либо более времене- и трудоемкий коэффициентный анализ, который при этом является более обоснованным и результативным.</w:t>
      </w:r>
    </w:p>
    <w:p w:rsidR="00F00A8B" w:rsidRPr="005650E8" w:rsidRDefault="00F00A8B" w:rsidP="00F00A8B">
      <w:pPr>
        <w:widowControl w:val="0"/>
        <w:ind w:firstLine="709"/>
        <w:jc w:val="both"/>
      </w:pPr>
    </w:p>
    <w:p w:rsidR="00F00A8B" w:rsidRPr="005650E8" w:rsidRDefault="00F00A8B" w:rsidP="00F00A8B">
      <w:pPr>
        <w:widowControl w:val="0"/>
        <w:ind w:firstLine="709"/>
        <w:jc w:val="center"/>
      </w:pPr>
      <w:r w:rsidRPr="005650E8">
        <w:rPr>
          <w:b/>
          <w:bCs/>
        </w:rPr>
        <w:t>Библиографический список</w:t>
      </w:r>
    </w:p>
    <w:p w:rsidR="00F00A8B" w:rsidRPr="005650E8" w:rsidRDefault="00F00A8B" w:rsidP="00F00A8B">
      <w:pPr>
        <w:widowControl w:val="0"/>
        <w:numPr>
          <w:ilvl w:val="0"/>
          <w:numId w:val="33"/>
        </w:numPr>
        <w:tabs>
          <w:tab w:val="clear" w:pos="1699"/>
        </w:tabs>
        <w:ind w:left="0" w:firstLine="360"/>
        <w:jc w:val="both"/>
      </w:pPr>
      <w:r w:rsidRPr="005650E8">
        <w:t>Інструкція № 10 Національного банку України "Про порядок регулювання та аналіз діяльності комерційних банків (затверджена Постановою Правління Національного банку України від 30.12.2003р. за №469).</w:t>
      </w:r>
    </w:p>
    <w:p w:rsidR="00F00A8B" w:rsidRPr="005650E8" w:rsidRDefault="00F00A8B" w:rsidP="00F00A8B">
      <w:pPr>
        <w:widowControl w:val="0"/>
        <w:numPr>
          <w:ilvl w:val="0"/>
          <w:numId w:val="33"/>
        </w:numPr>
        <w:tabs>
          <w:tab w:val="clear" w:pos="1699"/>
        </w:tabs>
        <w:ind w:left="0" w:firstLine="360"/>
        <w:jc w:val="both"/>
      </w:pPr>
      <w:r w:rsidRPr="005650E8">
        <w:t xml:space="preserve">Аналіз діяльності комерційного банку. Навч. посібник для студентів вищих навчальних закладів / за ред. </w:t>
      </w:r>
      <w:r w:rsidRPr="005650E8">
        <w:rPr>
          <w:b/>
          <w:bCs/>
        </w:rPr>
        <w:t>Ф.Ф. Бутинця та ін.</w:t>
      </w:r>
      <w:r w:rsidRPr="005650E8">
        <w:t xml:space="preserve"> – Житомир: ПП “Рута”,2001.-384с.</w:t>
      </w:r>
    </w:p>
    <w:p w:rsidR="00F00A8B" w:rsidRPr="005650E8" w:rsidRDefault="00F00A8B" w:rsidP="00F00A8B">
      <w:pPr>
        <w:widowControl w:val="0"/>
        <w:numPr>
          <w:ilvl w:val="0"/>
          <w:numId w:val="33"/>
        </w:numPr>
        <w:tabs>
          <w:tab w:val="clear" w:pos="1699"/>
        </w:tabs>
        <w:ind w:left="0" w:firstLine="360"/>
        <w:jc w:val="both"/>
      </w:pPr>
      <w:r w:rsidRPr="005650E8">
        <w:rPr>
          <w:b/>
          <w:bCs/>
        </w:rPr>
        <w:t>Коваль В.М.</w:t>
      </w:r>
      <w:r w:rsidRPr="005650E8">
        <w:t xml:space="preserve"> Методи забезпечення оптимального співвідношення між ліквідністю і дохідністю комерційного банку // Фінанси України.-2000.-№2.-С.104-109.</w:t>
      </w:r>
    </w:p>
    <w:p w:rsidR="00F00A8B" w:rsidRPr="005650E8" w:rsidRDefault="00F00A8B" w:rsidP="00F00A8B">
      <w:pPr>
        <w:widowControl w:val="0"/>
        <w:numPr>
          <w:ilvl w:val="0"/>
          <w:numId w:val="33"/>
        </w:numPr>
        <w:tabs>
          <w:tab w:val="clear" w:pos="1699"/>
        </w:tabs>
        <w:ind w:left="0" w:firstLine="360"/>
        <w:jc w:val="both"/>
      </w:pPr>
      <w:r w:rsidRPr="005650E8">
        <w:rPr>
          <w:b/>
          <w:bCs/>
        </w:rPr>
        <w:t>С. Халява</w:t>
      </w:r>
      <w:r>
        <w:t>.</w:t>
      </w:r>
      <w:r w:rsidRPr="005650E8">
        <w:t xml:space="preserve"> Прибутковість і ліквідність комерційних банків та управління грошовою позицією - Вісник Національного банку України -2006. - № 5.</w:t>
      </w:r>
    </w:p>
    <w:p w:rsidR="00F00A8B" w:rsidRPr="005650E8" w:rsidRDefault="00F00A8B" w:rsidP="00F00A8B">
      <w:pPr>
        <w:widowControl w:val="0"/>
        <w:numPr>
          <w:ilvl w:val="0"/>
          <w:numId w:val="33"/>
        </w:numPr>
        <w:tabs>
          <w:tab w:val="clear" w:pos="1699"/>
        </w:tabs>
        <w:ind w:left="0" w:firstLine="360"/>
        <w:jc w:val="both"/>
      </w:pPr>
      <w:hyperlink r:id="rId5" w:history="1">
        <w:r w:rsidRPr="005650E8">
          <w:rPr>
            <w:rStyle w:val="a3"/>
          </w:rPr>
          <w:t>http://www.dengi-ua.com</w:t>
        </w:r>
      </w:hyperlink>
      <w:r w:rsidRPr="005650E8">
        <w:t xml:space="preserve"> – электронный ресурс</w:t>
      </w:r>
    </w:p>
    <w:p w:rsidR="00452E1E" w:rsidRPr="00282B09" w:rsidRDefault="00452E1E" w:rsidP="00074576"/>
    <w:sectPr w:rsidR="00452E1E" w:rsidRPr="00282B09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DCF"/>
    <w:multiLevelType w:val="hybridMultilevel"/>
    <w:tmpl w:val="5E044464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2B0D"/>
    <w:multiLevelType w:val="hybridMultilevel"/>
    <w:tmpl w:val="79924EA0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A0A91"/>
    <w:multiLevelType w:val="hybridMultilevel"/>
    <w:tmpl w:val="3C3EAB3A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194EED"/>
    <w:multiLevelType w:val="hybridMultilevel"/>
    <w:tmpl w:val="56E8616C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B7192"/>
    <w:multiLevelType w:val="hybridMultilevel"/>
    <w:tmpl w:val="BEB0D644"/>
    <w:lvl w:ilvl="0" w:tplc="6B202D4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141241A"/>
    <w:multiLevelType w:val="hybridMultilevel"/>
    <w:tmpl w:val="5014810E"/>
    <w:lvl w:ilvl="0" w:tplc="2B84CAA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83A54"/>
    <w:multiLevelType w:val="hybridMultilevel"/>
    <w:tmpl w:val="A010FD94"/>
    <w:lvl w:ilvl="0" w:tplc="22D4978E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A0125C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3" w:tplc="FBE66CB6">
      <w:start w:val="3"/>
      <w:numFmt w:val="bullet"/>
      <w:lvlText w:val="–"/>
      <w:lvlJc w:val="left"/>
      <w:pPr>
        <w:tabs>
          <w:tab w:val="num" w:pos="3859"/>
        </w:tabs>
        <w:ind w:left="3859" w:hanging="990"/>
      </w:pPr>
      <w:rPr>
        <w:rFonts w:ascii="Times New Roman" w:eastAsia="Times New Roman" w:hAnsi="Times New Roman" w:cs="Times New Roman" w:hint="default"/>
      </w:rPr>
    </w:lvl>
    <w:lvl w:ilvl="4" w:tplc="8F02A14C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 w:tplc="8F02A14C">
      <w:start w:val="1"/>
      <w:numFmt w:val="decimal"/>
      <w:lvlText w:val="%6."/>
      <w:lvlJc w:val="left"/>
      <w:pPr>
        <w:tabs>
          <w:tab w:val="num" w:pos="4849"/>
        </w:tabs>
        <w:ind w:left="4849" w:hanging="360"/>
      </w:pPr>
      <w:rPr>
        <w:rFonts w:hint="default"/>
      </w:rPr>
    </w:lvl>
    <w:lvl w:ilvl="6" w:tplc="8F02A14C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EA37FF6"/>
    <w:multiLevelType w:val="hybridMultilevel"/>
    <w:tmpl w:val="7760FE98"/>
    <w:lvl w:ilvl="0" w:tplc="49107CA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C5C23"/>
    <w:multiLevelType w:val="hybridMultilevel"/>
    <w:tmpl w:val="2EFA9222"/>
    <w:lvl w:ilvl="0" w:tplc="ABEAB5C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0F97404"/>
    <w:multiLevelType w:val="hybridMultilevel"/>
    <w:tmpl w:val="8FAE913C"/>
    <w:lvl w:ilvl="0" w:tplc="F7B8F27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105552E"/>
    <w:multiLevelType w:val="hybridMultilevel"/>
    <w:tmpl w:val="1F8A49EE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E6772"/>
    <w:multiLevelType w:val="hybridMultilevel"/>
    <w:tmpl w:val="95CAD4D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325F34B9"/>
    <w:multiLevelType w:val="hybridMultilevel"/>
    <w:tmpl w:val="C9C04D2A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43253"/>
    <w:multiLevelType w:val="hybridMultilevel"/>
    <w:tmpl w:val="A9860782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6A066F3"/>
    <w:multiLevelType w:val="hybridMultilevel"/>
    <w:tmpl w:val="AB625DB4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6B87A76"/>
    <w:multiLevelType w:val="hybridMultilevel"/>
    <w:tmpl w:val="1F683546"/>
    <w:lvl w:ilvl="0" w:tplc="EFAE6A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99A7BFC">
      <w:start w:val="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2D649B4"/>
    <w:multiLevelType w:val="hybridMultilevel"/>
    <w:tmpl w:val="1E4838EE"/>
    <w:lvl w:ilvl="0" w:tplc="1854B8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323487E"/>
    <w:multiLevelType w:val="hybridMultilevel"/>
    <w:tmpl w:val="224AB82A"/>
    <w:lvl w:ilvl="0" w:tplc="39CA4D2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88007C3"/>
    <w:multiLevelType w:val="hybridMultilevel"/>
    <w:tmpl w:val="C6F0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67867"/>
    <w:multiLevelType w:val="hybridMultilevel"/>
    <w:tmpl w:val="CC66083C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DA448F5"/>
    <w:multiLevelType w:val="hybridMultilevel"/>
    <w:tmpl w:val="5AF840C0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E0FF9"/>
    <w:multiLevelType w:val="hybridMultilevel"/>
    <w:tmpl w:val="4E989FC6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824216">
      <w:start w:val="4"/>
      <w:numFmt w:val="bullet"/>
      <w:lvlText w:val="-"/>
      <w:lvlJc w:val="left"/>
      <w:pPr>
        <w:tabs>
          <w:tab w:val="num" w:pos="2010"/>
        </w:tabs>
        <w:ind w:left="2010" w:hanging="9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B2E46B7"/>
    <w:multiLevelType w:val="hybridMultilevel"/>
    <w:tmpl w:val="1F02EF0C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24">
    <w:nsid w:val="5DF539E3"/>
    <w:multiLevelType w:val="hybridMultilevel"/>
    <w:tmpl w:val="F446DEDC"/>
    <w:lvl w:ilvl="0" w:tplc="CD863DBC">
      <w:start w:val="1"/>
      <w:numFmt w:val="decimal"/>
      <w:lvlText w:val="%1."/>
      <w:lvlJc w:val="left"/>
      <w:pPr>
        <w:tabs>
          <w:tab w:val="num" w:pos="2498"/>
        </w:tabs>
        <w:ind w:left="249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666217C2"/>
    <w:multiLevelType w:val="hybridMultilevel"/>
    <w:tmpl w:val="853CB822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677E2B92"/>
    <w:multiLevelType w:val="hybridMultilevel"/>
    <w:tmpl w:val="893C5D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8107DA8"/>
    <w:multiLevelType w:val="hybridMultilevel"/>
    <w:tmpl w:val="EB2A3CBE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9702C09"/>
    <w:multiLevelType w:val="hybridMultilevel"/>
    <w:tmpl w:val="13B432EA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A631A69"/>
    <w:multiLevelType w:val="hybridMultilevel"/>
    <w:tmpl w:val="D354E5DC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0">
    <w:nsid w:val="7364038C"/>
    <w:multiLevelType w:val="hybridMultilevel"/>
    <w:tmpl w:val="AE0474A4"/>
    <w:lvl w:ilvl="0" w:tplc="6ACA2174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6F97E5E"/>
    <w:multiLevelType w:val="hybridMultilevel"/>
    <w:tmpl w:val="C2421334"/>
    <w:lvl w:ilvl="0" w:tplc="A7AE3C7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C0E6C40"/>
    <w:multiLevelType w:val="hybridMultilevel"/>
    <w:tmpl w:val="7696E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16"/>
  </w:num>
  <w:num w:numId="11">
    <w:abstractNumId w:val="2"/>
  </w:num>
  <w:num w:numId="12">
    <w:abstractNumId w:val="4"/>
  </w:num>
  <w:num w:numId="13">
    <w:abstractNumId w:val="27"/>
  </w:num>
  <w:num w:numId="14">
    <w:abstractNumId w:val="28"/>
  </w:num>
  <w:num w:numId="15">
    <w:abstractNumId w:val="17"/>
  </w:num>
  <w:num w:numId="16">
    <w:abstractNumId w:val="32"/>
  </w:num>
  <w:num w:numId="17">
    <w:abstractNumId w:val="26"/>
  </w:num>
  <w:num w:numId="18">
    <w:abstractNumId w:val="24"/>
  </w:num>
  <w:num w:numId="19">
    <w:abstractNumId w:val="11"/>
  </w:num>
  <w:num w:numId="20">
    <w:abstractNumId w:val="7"/>
  </w:num>
  <w:num w:numId="21">
    <w:abstractNumId w:val="14"/>
  </w:num>
  <w:num w:numId="22">
    <w:abstractNumId w:val="22"/>
  </w:num>
  <w:num w:numId="23">
    <w:abstractNumId w:val="21"/>
  </w:num>
  <w:num w:numId="24">
    <w:abstractNumId w:val="12"/>
  </w:num>
  <w:num w:numId="25">
    <w:abstractNumId w:val="31"/>
  </w:num>
  <w:num w:numId="26">
    <w:abstractNumId w:val="25"/>
  </w:num>
  <w:num w:numId="27">
    <w:abstractNumId w:val="23"/>
  </w:num>
  <w:num w:numId="28">
    <w:abstractNumId w:val="29"/>
  </w:num>
  <w:num w:numId="29">
    <w:abstractNumId w:val="30"/>
  </w:num>
  <w:num w:numId="30">
    <w:abstractNumId w:val="15"/>
  </w:num>
  <w:num w:numId="31">
    <w:abstractNumId w:val="13"/>
  </w:num>
  <w:num w:numId="32">
    <w:abstractNumId w:val="19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9E5"/>
    <w:rsid w:val="00074576"/>
    <w:rsid w:val="000845F4"/>
    <w:rsid w:val="000B4E6B"/>
    <w:rsid w:val="001A715F"/>
    <w:rsid w:val="00282B09"/>
    <w:rsid w:val="00412D86"/>
    <w:rsid w:val="00452E1E"/>
    <w:rsid w:val="004839A7"/>
    <w:rsid w:val="005E0245"/>
    <w:rsid w:val="005F5FA6"/>
    <w:rsid w:val="006E5A43"/>
    <w:rsid w:val="006F0F08"/>
    <w:rsid w:val="0076489B"/>
    <w:rsid w:val="007D2410"/>
    <w:rsid w:val="009B29E5"/>
    <w:rsid w:val="009D3638"/>
    <w:rsid w:val="00A03567"/>
    <w:rsid w:val="00BD2ED3"/>
    <w:rsid w:val="00BE4EC0"/>
    <w:rsid w:val="00D80C60"/>
    <w:rsid w:val="00E528DF"/>
    <w:rsid w:val="00EB54D2"/>
    <w:rsid w:val="00F0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aliases w:val=" Знак Знак"/>
    <w:basedOn w:val="a"/>
    <w:link w:val="22"/>
    <w:rsid w:val="00D80C60"/>
    <w:pPr>
      <w:spacing w:after="120" w:line="480" w:lineRule="auto"/>
    </w:pPr>
    <w:rPr>
      <w:lang w:val="uk-UA" w:eastAsia="uk-UA"/>
    </w:rPr>
  </w:style>
  <w:style w:type="character" w:customStyle="1" w:styleId="22">
    <w:name w:val="Основной текст 2 Знак"/>
    <w:aliases w:val=" Знак Знак Знак"/>
    <w:basedOn w:val="a0"/>
    <w:link w:val="21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22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ngi-u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7670</Characters>
  <Application>Microsoft Office Word</Application>
  <DocSecurity>0</DocSecurity>
  <Lines>63</Lines>
  <Paragraphs>17</Paragraphs>
  <ScaleCrop>false</ScaleCrop>
  <Company>RePack by SPecialiST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2013-05-26T08:20:00Z</dcterms:created>
  <dcterms:modified xsi:type="dcterms:W3CDTF">2013-05-26T08:20:00Z</dcterms:modified>
</cp:coreProperties>
</file>