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0F" w:rsidRPr="00D066C2" w:rsidRDefault="00346C0F" w:rsidP="00346C0F">
      <w:pPr>
        <w:widowControl w:val="0"/>
      </w:pPr>
      <w:r w:rsidRPr="00C37155">
        <w:t>КАЛАШНИКОВА Д.С., КРИВИЙ Ю.В., ст.гр. ЭНМ–05</w:t>
      </w:r>
    </w:p>
    <w:p w:rsidR="00346C0F" w:rsidRPr="00D066C2" w:rsidRDefault="00346C0F" w:rsidP="00346C0F">
      <w:pPr>
        <w:widowControl w:val="0"/>
      </w:pPr>
      <w:r w:rsidRPr="00D066C2">
        <w:t>Науч. руков.: Портнова Г.А., ст. преп.</w:t>
      </w:r>
    </w:p>
    <w:p w:rsidR="00346C0F" w:rsidRPr="00D066C2" w:rsidRDefault="00346C0F" w:rsidP="00346C0F">
      <w:pPr>
        <w:widowControl w:val="0"/>
      </w:pPr>
      <w:r w:rsidRPr="00D066C2">
        <w:t>Донецкий национальный технический университет,</w:t>
      </w:r>
    </w:p>
    <w:p w:rsidR="00346C0F" w:rsidRPr="00D066C2" w:rsidRDefault="00346C0F" w:rsidP="00346C0F">
      <w:pPr>
        <w:widowControl w:val="0"/>
      </w:pPr>
      <w:r w:rsidRPr="00D066C2">
        <w:t>г. Донецк</w:t>
      </w:r>
    </w:p>
    <w:p w:rsidR="00346C0F" w:rsidRPr="00D066C2" w:rsidRDefault="00346C0F" w:rsidP="00346C0F">
      <w:pPr>
        <w:widowControl w:val="0"/>
        <w:jc w:val="center"/>
        <w:rPr>
          <w:b/>
        </w:rPr>
      </w:pPr>
    </w:p>
    <w:p w:rsidR="00346C0F" w:rsidRPr="00D066C2" w:rsidRDefault="00346C0F" w:rsidP="00346C0F">
      <w:pPr>
        <w:widowControl w:val="0"/>
        <w:jc w:val="center"/>
        <w:rPr>
          <w:b/>
        </w:rPr>
      </w:pPr>
      <w:r w:rsidRPr="00D066C2">
        <w:rPr>
          <w:b/>
        </w:rPr>
        <w:t>УПРАВЛЕНИЕ ОРГАНИЗАЦИОННЫМИ КОНФЛИКТАМИ</w:t>
      </w:r>
    </w:p>
    <w:p w:rsidR="00346C0F" w:rsidRPr="00D066C2" w:rsidRDefault="00346C0F" w:rsidP="00346C0F">
      <w:pPr>
        <w:widowControl w:val="0"/>
        <w:jc w:val="center"/>
        <w:rPr>
          <w:b/>
        </w:rPr>
      </w:pPr>
    </w:p>
    <w:p w:rsidR="00346C0F" w:rsidRPr="00D066C2" w:rsidRDefault="00346C0F" w:rsidP="00346C0F">
      <w:pPr>
        <w:widowControl w:val="0"/>
        <w:ind w:firstLine="709"/>
        <w:jc w:val="both"/>
        <w:rPr>
          <w:i/>
        </w:rPr>
      </w:pPr>
      <w:r w:rsidRPr="00D066C2">
        <w:rPr>
          <w:i/>
        </w:rPr>
        <w:t>Проанализировано толкование термина «конфликт», рассмотрены методы управления конфликтами, приведена модель управления конфликтными ситуациями.</w:t>
      </w:r>
    </w:p>
    <w:p w:rsidR="00346C0F" w:rsidRPr="00D066C2" w:rsidRDefault="00346C0F" w:rsidP="00346C0F">
      <w:pPr>
        <w:widowControl w:val="0"/>
        <w:ind w:firstLine="708"/>
        <w:jc w:val="both"/>
      </w:pPr>
      <w:r w:rsidRPr="00D066C2">
        <w:rPr>
          <w:b/>
        </w:rPr>
        <w:t>Актуальность.</w:t>
      </w:r>
      <w:r w:rsidRPr="00D066C2">
        <w:t xml:space="preserve"> Современная наука об управлении признает, что конфликт является неотъемлемой частью жизнедеятельности организации. Работающие люди различны между собой. Соответственно они по-разному воспринимают ситуацию, в которой они оказываются. Поэтому умение управлять конфликтами входит в перечень функций современного менеджера. </w:t>
      </w:r>
    </w:p>
    <w:p w:rsidR="00346C0F" w:rsidRPr="001215CF" w:rsidRDefault="00346C0F" w:rsidP="00346C0F">
      <w:pPr>
        <w:widowControl w:val="0"/>
        <w:ind w:firstLine="708"/>
        <w:jc w:val="both"/>
        <w:rPr>
          <w:spacing w:val="-2"/>
        </w:rPr>
      </w:pPr>
      <w:r w:rsidRPr="001215CF">
        <w:rPr>
          <w:b/>
          <w:spacing w:val="-2"/>
        </w:rPr>
        <w:t>Цель исследования:</w:t>
      </w:r>
      <w:r w:rsidRPr="001215CF">
        <w:rPr>
          <w:spacing w:val="-2"/>
        </w:rPr>
        <w:t xml:space="preserve"> проанализировать сущность конфликта, рассмотреть методы управления конфликтной ситуацией, разработать этапы управления конфликтом.</w:t>
      </w:r>
    </w:p>
    <w:p w:rsidR="00346C0F" w:rsidRPr="000F0F6F" w:rsidRDefault="00346C0F" w:rsidP="00346C0F">
      <w:pPr>
        <w:widowControl w:val="0"/>
        <w:ind w:firstLine="708"/>
        <w:jc w:val="both"/>
        <w:rPr>
          <w:spacing w:val="-2"/>
        </w:rPr>
      </w:pPr>
      <w:r w:rsidRPr="000F0F6F">
        <w:rPr>
          <w:b/>
          <w:spacing w:val="-2"/>
        </w:rPr>
        <w:t>Основная часть.</w:t>
      </w:r>
      <w:r w:rsidRPr="000F0F6F">
        <w:rPr>
          <w:spacing w:val="-2"/>
        </w:rPr>
        <w:t xml:space="preserve"> Даже при наличии соответствующих знаний и навыков успех в этой сфере может быть достигнут только в том случае, если есть необходимые инструменты управления: методы, конкретные методики, технологии, позволяющие не только сократить негативные последствия конфликта, но и по возможности сделает его полезным для организации. вопрос управления конфликтом остается открытым, т</w:t>
      </w:r>
      <w:proofErr w:type="gramStart"/>
      <w:r w:rsidRPr="000F0F6F">
        <w:rPr>
          <w:spacing w:val="-2"/>
        </w:rPr>
        <w:t>.к</w:t>
      </w:r>
      <w:proofErr w:type="gramEnd"/>
      <w:r w:rsidRPr="000F0F6F">
        <w:rPr>
          <w:spacing w:val="-2"/>
        </w:rPr>
        <w:t xml:space="preserve"> существует ряд проблем, ограничивающих возможности создание мероприятий управления конфликтом, хотя разработка такого рода технологий может формироваться менеджерами разного уровня и разных сфер деятельности. Однако</w:t>
      </w:r>
      <w:proofErr w:type="gramStart"/>
      <w:r w:rsidRPr="000F0F6F">
        <w:rPr>
          <w:spacing w:val="-2"/>
        </w:rPr>
        <w:t>,</w:t>
      </w:r>
      <w:proofErr w:type="gramEnd"/>
      <w:r w:rsidRPr="000F0F6F">
        <w:rPr>
          <w:spacing w:val="-2"/>
        </w:rPr>
        <w:t xml:space="preserve"> это как правило, ограничивается разрешением и предупреждением конфликтов, что является лишь частью технологий управления.</w:t>
      </w:r>
    </w:p>
    <w:p w:rsidR="00346C0F" w:rsidRPr="000F0F6F" w:rsidRDefault="00346C0F" w:rsidP="00346C0F">
      <w:pPr>
        <w:widowControl w:val="0"/>
        <w:ind w:firstLine="709"/>
        <w:jc w:val="both"/>
        <w:rPr>
          <w:sz w:val="20"/>
          <w:szCs w:val="20"/>
        </w:rPr>
      </w:pPr>
    </w:p>
    <w:p w:rsidR="00346C0F" w:rsidRPr="00D066C2" w:rsidRDefault="00346C0F" w:rsidP="00346C0F">
      <w:pPr>
        <w:widowControl w:val="0"/>
        <w:jc w:val="center"/>
      </w:pPr>
      <w:r w:rsidRPr="00D066C2">
        <w:t xml:space="preserve">Таблица 1 </w:t>
      </w:r>
      <w:r>
        <w:sym w:font="Symbol" w:char="F02D"/>
      </w:r>
      <w:r w:rsidRPr="00D066C2">
        <w:t xml:space="preserve"> Толкование термина «конфликт» в различной литературе</w:t>
      </w:r>
    </w:p>
    <w:tbl>
      <w:tblPr>
        <w:tblW w:w="9087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4879"/>
        <w:gridCol w:w="2958"/>
      </w:tblGrid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jc w:val="center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Термин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jc w:val="center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Содержание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jc w:val="center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Автор</w:t>
            </w:r>
          </w:p>
        </w:tc>
      </w:tr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Конфликт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Сознательное поведение одной из сторон (личность, группа или организации в целом) вступает в противоречия с интересами других сторон.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Виханский О.С., Наумов А.И. Менеджмент</w:t>
            </w:r>
            <w:proofErr w:type="gramStart"/>
            <w:r w:rsidRPr="00E55810">
              <w:rPr>
                <w:sz w:val="23"/>
                <w:szCs w:val="23"/>
              </w:rPr>
              <w:t>.У</w:t>
            </w:r>
            <w:proofErr w:type="gramEnd"/>
            <w:r w:rsidRPr="00E55810">
              <w:rPr>
                <w:sz w:val="23"/>
                <w:szCs w:val="23"/>
              </w:rPr>
              <w:t>чебник.</w:t>
            </w:r>
          </w:p>
        </w:tc>
      </w:tr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Конфликт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 xml:space="preserve">Неизбежное и закономерное явление, представляющее собой оборотные стороны сотрудничества, особый тип взаимодействия. 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Решетникова К.В. Научное издание «Социология управления», 2008г.</w:t>
            </w:r>
          </w:p>
        </w:tc>
      </w:tr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Конфликт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Особый вид взаимодействия субьектов организаций (оппонентов), при котором действие одной стороны, столкнувшись с противодействием другой, делает невозможным реализации ее целей и интересов.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 xml:space="preserve">Зайцева О.А., </w:t>
            </w:r>
          </w:p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Радугин А.А. Основы менеджмента: Учебное пособие для вузов</w:t>
            </w:r>
          </w:p>
        </w:tc>
      </w:tr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Конфликт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 xml:space="preserve">Враждебные взаимодействия, когда одна сторона пытается восприятствовать целям или намерениям другой. 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Дафт Р.Л. Менеджмент, 2001г.</w:t>
            </w:r>
          </w:p>
        </w:tc>
      </w:tr>
      <w:tr w:rsidR="00346C0F" w:rsidRPr="00E55810" w:rsidTr="00A00215">
        <w:trPr>
          <w:jc w:val="center"/>
        </w:trPr>
        <w:tc>
          <w:tcPr>
            <w:tcW w:w="1250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Конфликт</w:t>
            </w:r>
          </w:p>
        </w:tc>
        <w:tc>
          <w:tcPr>
            <w:tcW w:w="4879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Отсутствие согласия между двумя или более сторонами, которые могут быть конкретными лицами или группами.</w:t>
            </w:r>
          </w:p>
        </w:tc>
        <w:tc>
          <w:tcPr>
            <w:tcW w:w="2958" w:type="dxa"/>
          </w:tcPr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 xml:space="preserve">Мескон М.Х., </w:t>
            </w:r>
          </w:p>
          <w:p w:rsidR="00346C0F" w:rsidRPr="00E55810" w:rsidRDefault="00346C0F" w:rsidP="00A00215">
            <w:pPr>
              <w:widowControl w:val="0"/>
              <w:rPr>
                <w:sz w:val="23"/>
                <w:szCs w:val="23"/>
              </w:rPr>
            </w:pPr>
            <w:r w:rsidRPr="00E55810">
              <w:rPr>
                <w:sz w:val="23"/>
                <w:szCs w:val="23"/>
              </w:rPr>
              <w:t>Альберт М. Основы менеджмента: пер. с англ. 2002г.</w:t>
            </w:r>
          </w:p>
        </w:tc>
      </w:tr>
    </w:tbl>
    <w:p w:rsidR="00346C0F" w:rsidRDefault="00346C0F" w:rsidP="00346C0F">
      <w:pPr>
        <w:widowControl w:val="0"/>
        <w:ind w:firstLine="709"/>
        <w:jc w:val="both"/>
      </w:pPr>
    </w:p>
    <w:p w:rsidR="00346C0F" w:rsidRPr="00D066C2" w:rsidRDefault="00346C0F" w:rsidP="00346C0F">
      <w:pPr>
        <w:widowControl w:val="0"/>
        <w:ind w:firstLine="709"/>
        <w:jc w:val="both"/>
      </w:pPr>
      <w:r w:rsidRPr="00D066C2">
        <w:t xml:space="preserve">Для решения организационных конфликтов широко используется так называемые структурные методы управления конфликтом внутри организации. Они направлены на снижение интенсивности конфликта. В группу этих методов входят: </w:t>
      </w:r>
    </w:p>
    <w:p w:rsidR="00346C0F" w:rsidRDefault="00346C0F" w:rsidP="0004003F">
      <w:pPr>
        <w:widowControl w:val="0"/>
        <w:numPr>
          <w:ilvl w:val="0"/>
          <w:numId w:val="3"/>
        </w:numPr>
        <w:tabs>
          <w:tab w:val="clear" w:pos="1080"/>
        </w:tabs>
        <w:ind w:left="0" w:firstLine="360"/>
        <w:jc w:val="both"/>
      </w:pPr>
      <w:proofErr w:type="gramStart"/>
      <w:r w:rsidRPr="00D066C2">
        <w:t xml:space="preserve">Методы, связанные с использованием руководителем своего положения в </w:t>
      </w:r>
      <w:r w:rsidRPr="00D066C2">
        <w:lastRenderedPageBreak/>
        <w:t>организации (приказ, распоряжение, директива и т.п.);</w:t>
      </w:r>
      <w:proofErr w:type="gramEnd"/>
    </w:p>
    <w:p w:rsidR="00346C0F" w:rsidRDefault="00346C0F" w:rsidP="0004003F">
      <w:pPr>
        <w:widowControl w:val="0"/>
        <w:numPr>
          <w:ilvl w:val="0"/>
          <w:numId w:val="3"/>
        </w:numPr>
        <w:tabs>
          <w:tab w:val="clear" w:pos="1080"/>
        </w:tabs>
        <w:ind w:left="0" w:firstLine="360"/>
        <w:jc w:val="both"/>
      </w:pPr>
      <w:proofErr w:type="gramStart"/>
      <w:r w:rsidRPr="00D066C2">
        <w:t>Методы, связанные с «разведением» частей организации участника конфликта («разведение» их по ресурсам, целям, средствам и т.д.) или снижением их взаимозависимости (дифференциация и автономизация подразделений);</w:t>
      </w:r>
      <w:proofErr w:type="gramEnd"/>
    </w:p>
    <w:p w:rsidR="00346C0F" w:rsidRDefault="00346C0F" w:rsidP="0004003F">
      <w:pPr>
        <w:widowControl w:val="0"/>
        <w:numPr>
          <w:ilvl w:val="0"/>
          <w:numId w:val="3"/>
        </w:numPr>
        <w:tabs>
          <w:tab w:val="clear" w:pos="1080"/>
        </w:tabs>
        <w:ind w:left="0" w:firstLine="360"/>
        <w:jc w:val="both"/>
      </w:pPr>
      <w:r w:rsidRPr="00D066C2">
        <w:t xml:space="preserve">Методы, связанные с созданием определенного «задела» в работе </w:t>
      </w:r>
      <w:proofErr w:type="gramStart"/>
      <w:r w:rsidRPr="00D066C2">
        <w:t>взаимо</w:t>
      </w:r>
      <w:r>
        <w:t>-</w:t>
      </w:r>
      <w:r w:rsidRPr="00D066C2">
        <w:t>зависимых</w:t>
      </w:r>
      <w:proofErr w:type="gramEnd"/>
      <w:r w:rsidRPr="00D066C2">
        <w:t xml:space="preserve"> подразделений (запас материалов и комплектующих);</w:t>
      </w:r>
    </w:p>
    <w:p w:rsidR="00346C0F" w:rsidRDefault="00346C0F" w:rsidP="0004003F">
      <w:pPr>
        <w:widowControl w:val="0"/>
        <w:numPr>
          <w:ilvl w:val="0"/>
          <w:numId w:val="3"/>
        </w:numPr>
        <w:tabs>
          <w:tab w:val="clear" w:pos="1080"/>
        </w:tabs>
        <w:ind w:left="0" w:firstLine="360"/>
        <w:jc w:val="both"/>
      </w:pPr>
      <w:r w:rsidRPr="00D066C2">
        <w:t>Методы, связанные с введением специального интеграционного механизма для конфликтующих подразделений (общий заместитель, куратор или координатор и т. п.);</w:t>
      </w:r>
    </w:p>
    <w:p w:rsidR="00346C0F" w:rsidRPr="00D066C2" w:rsidRDefault="00346C0F" w:rsidP="0004003F">
      <w:pPr>
        <w:widowControl w:val="0"/>
        <w:numPr>
          <w:ilvl w:val="0"/>
          <w:numId w:val="3"/>
        </w:numPr>
        <w:tabs>
          <w:tab w:val="clear" w:pos="1080"/>
        </w:tabs>
        <w:ind w:left="0" w:firstLine="360"/>
        <w:jc w:val="both"/>
      </w:pPr>
      <w:r w:rsidRPr="00D066C2">
        <w:t>Методы, вязанные со слиянием разных подразделений и неделением их общей задачей (например, объединение отдела труда заработной платы и отдела кадров в отдел развития персонала, призванный заниматься развитием каждого отдельного работника в плане его роста, а не только расчетно-учетными функциями).</w:t>
      </w:r>
    </w:p>
    <w:p w:rsidR="00346C0F" w:rsidRPr="00D066C2" w:rsidRDefault="00346C0F" w:rsidP="00346C0F">
      <w:pPr>
        <w:widowControl w:val="0"/>
        <w:ind w:firstLine="709"/>
        <w:jc w:val="both"/>
      </w:pPr>
      <w:r w:rsidRPr="00D066C2">
        <w:t>В литературе описано много методов управления конфликтом на всех этапах его развития</w:t>
      </w:r>
      <w:proofErr w:type="gramStart"/>
      <w:r w:rsidRPr="00D066C2">
        <w:t>.</w:t>
      </w:r>
      <w:proofErr w:type="gramEnd"/>
      <w:r w:rsidRPr="00D066C2">
        <w:t xml:space="preserve"> </w:t>
      </w:r>
      <w:proofErr w:type="gramStart"/>
      <w:r w:rsidRPr="00D066C2">
        <w:t>м</w:t>
      </w:r>
      <w:proofErr w:type="gramEnd"/>
      <w:r w:rsidRPr="00D066C2">
        <w:t>енеджерами разрабатываются модели для управления конфликтами на организации. Одна из них представлена на рисунке 1.</w:t>
      </w:r>
    </w:p>
    <w:p w:rsidR="00346C0F" w:rsidRPr="00D066C2" w:rsidRDefault="00346C0F" w:rsidP="00346C0F">
      <w:pPr>
        <w:widowControl w:val="0"/>
        <w:ind w:firstLine="709"/>
        <w:jc w:val="both"/>
      </w:pPr>
    </w:p>
    <w:p w:rsidR="00346C0F" w:rsidRPr="00D066C2" w:rsidRDefault="00346C0F" w:rsidP="00346C0F">
      <w:pPr>
        <w:widowControl w:val="0"/>
        <w:jc w:val="center"/>
      </w:pPr>
      <w:r w:rsidRPr="00D066C2">
        <w:rPr>
          <w:noProof/>
        </w:rPr>
      </w:r>
      <w:r w:rsidRPr="00D066C2">
        <w:pict>
          <v:group id="_x0000_s1168" editas="canvas" style="width:459pt;height:351pt;mso-position-horizontal-relative:char;mso-position-vertical-relative:line" coordorigin="1701,1770" coordsize="9180,7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1701;top:1770;width:9180;height:7020" o:preferrelative="f">
              <v:fill o:detectmouseclick="t"/>
              <v:path o:extrusionok="t" o:connecttype="none"/>
              <o:lock v:ext="edit" text="t"/>
            </v:shape>
            <v:rect id="_x0000_s1170" style="position:absolute;left:4041;top:1770;width:3600;height:360">
              <v:textbox style="mso-next-textbox:#_x0000_s1170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Управленческая ситуация</w:t>
                    </w:r>
                  </w:p>
                </w:txbxContent>
              </v:textbox>
            </v:rect>
            <v:line id="_x0000_s1171" style="position:absolute" from="5841,2130" to="5842,2310"/>
            <v:rect id="_x0000_s1172" style="position:absolute;left:3501;top:2310;width:4680;height:360">
              <v:textbox style="mso-next-textbox:#_x0000_s1172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Источники, причины конфликта</w:t>
                    </w:r>
                  </w:p>
                </w:txbxContent>
              </v:textbox>
            </v:rect>
            <v:rect id="_x0000_s1173" style="position:absolute;left:3321;top:3030;width:539;height:3060">
              <v:textbox style="layout-flow:vertical;mso-layout-flow-alt:bottom-to-top;mso-next-textbox:#_x0000_s1173" inset="1.5mm,.3mm,1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Ограниченность ресурсов</w:t>
                    </w:r>
                  </w:p>
                </w:txbxContent>
              </v:textbox>
            </v:rect>
            <v:rect id="_x0000_s1174" style="position:absolute;left:4041;top:3030;width:540;height:3060">
              <v:textbox style="layout-flow:vertical;mso-layout-flow-alt:bottom-to-top;mso-next-textbox:#_x0000_s1174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Взаимозависимость заданий</w:t>
                    </w:r>
                  </w:p>
                </w:txbxContent>
              </v:textbox>
            </v:rect>
            <v:rect id="_x0000_s1175" style="position:absolute;left:4761;top:3030;width:541;height:3060">
              <v:textbox style="layout-flow:vertical;mso-layout-flow-alt:bottom-to-top;mso-next-textbox:#_x0000_s1175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Разница в целях</w:t>
                    </w:r>
                  </w:p>
                  <w:p w:rsidR="00346C0F" w:rsidRDefault="00346C0F" w:rsidP="00346C0F">
                    <w:pPr>
                      <w:jc w:val="center"/>
                    </w:pPr>
                  </w:p>
                </w:txbxContent>
              </v:textbox>
            </v:rect>
            <v:rect id="_x0000_s1176" style="position:absolute;left:6381;top:3030;width:539;height:3060">
              <v:textbox style="layout-flow:vertical;mso-layout-flow-alt:bottom-to-top;mso-next-textbox:#_x0000_s1176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Разница в предствлениях</w:t>
                    </w:r>
                  </w:p>
                </w:txbxContent>
              </v:textbox>
            </v:rect>
            <v:rect id="_x0000_s1177" style="position:absolute;left:7101;top:3030;width:542;height:3060">
              <v:textbox style="layout-flow:vertical;mso-layout-flow-alt:bottom-to-top;mso-next-textbox:#_x0000_s1177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Разница в манере поведения</w:t>
                    </w:r>
                  </w:p>
                </w:txbxContent>
              </v:textbox>
            </v:rect>
            <v:rect id="_x0000_s1178" style="position:absolute;left:7821;top:3030;width:720;height:3060">
              <v:textbox style="layout-flow:vertical;mso-layout-flow-alt:bottom-to-top;mso-next-textbox:#_x0000_s1178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Некачественная передача информации</w:t>
                    </w:r>
                  </w:p>
                </w:txbxContent>
              </v:textbox>
            </v:rect>
            <v:line id="_x0000_s1179" style="position:absolute;flip:y" from="3501,2670" to="3502,3030">
              <v:stroke endarrow="block"/>
            </v:line>
            <v:line id="_x0000_s1180" style="position:absolute;flip:y" from="4221,2670" to="4222,3030">
              <v:stroke endarrow="block"/>
            </v:line>
            <v:line id="_x0000_s1181" style="position:absolute;flip:y" from="4941,2670" to="4942,3030">
              <v:stroke endarrow="block"/>
            </v:line>
            <v:line id="_x0000_s1182" style="position:absolute;flip:y" from="6741,2670" to="6742,3030">
              <v:stroke endarrow="block"/>
            </v:line>
            <v:line id="_x0000_s1183" style="position:absolute;flip:y" from="7461,2670" to="7462,3030">
              <v:stroke endarrow="block"/>
            </v:line>
            <v:line id="_x0000_s1184" style="position:absolute;flip:y" from="8181,2670" to="8182,3030">
              <v:stroke endarrow="block"/>
            </v:line>
            <v:rect id="_x0000_s1185" style="position:absolute;left:3681;top:6270;width:4320;height:360">
              <v:textbox style="mso-next-textbox:#_x0000_s1185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Возможность разрастания конфликта</w:t>
                    </w:r>
                  </w:p>
                </w:txbxContent>
              </v:textbox>
            </v:rect>
            <v:rect id="_x0000_s1186" style="position:absolute;left:3681;top:6810;width:4320;height:360">
              <v:textbox style="mso-next-textbox:#_x0000_s1186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Реакция на ситуацию</w:t>
                    </w:r>
                  </w:p>
                </w:txbxContent>
              </v:textbox>
            </v:rect>
            <v:rect id="_x0000_s1187" style="position:absolute;left:3681;top:7350;width:4320;height:360">
              <v:textbox style="mso-next-textbox:#_x0000_s1187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Возникновение конфликта</w:t>
                    </w:r>
                  </w:p>
                </w:txbxContent>
              </v:textbox>
            </v:rect>
            <v:rect id="_x0000_s1188" style="position:absolute;left:3681;top:7890;width:4320;height:360">
              <v:textbox style="mso-next-textbox:#_x0000_s1188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Управление конфликтом</w:t>
                    </w:r>
                  </w:p>
                </w:txbxContent>
              </v:textbox>
            </v:rect>
            <v:rect id="_x0000_s1189" style="position:absolute;left:2781;top:8430;width:6120;height:360">
              <v:textbox style="mso-next-textbox:#_x0000_s1189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Функциональные и дисфункциональные последствия</w:t>
                    </w:r>
                  </w:p>
                </w:txbxContent>
              </v:textbox>
            </v:rect>
            <v:line id="_x0000_s1190" style="position:absolute" from="5841,2670" to="5842,6270">
              <v:stroke endarrow="block"/>
            </v:line>
            <v:line id="_x0000_s1191" style="position:absolute" from="5841,6630" to="5842,6810">
              <v:stroke endarrow="block"/>
            </v:line>
            <v:line id="_x0000_s1192" style="position:absolute" from="5841,7170" to="5842,7350">
              <v:stroke endarrow="block"/>
            </v:line>
            <v:line id="_x0000_s1193" style="position:absolute" from="5841,7710" to="5842,7890">
              <v:stroke endarrow="block"/>
            </v:line>
            <v:line id="_x0000_s1194" style="position:absolute" from="5841,8250" to="5842,8430">
              <v:stroke endarrow="block"/>
            </v:line>
            <v:rect id="_x0000_s1195" style="position:absolute;left:9621;top:2850;width:360;height:3600">
              <v:textbox style="layout-flow:vertical;mso-layout-flow-alt:bottom-to-top;mso-next-textbox:#_x0000_s1195" inset=".5mm,.3mm,.5mm,.3mm">
                <w:txbxContent>
                  <w:p w:rsidR="00346C0F" w:rsidRDefault="00346C0F" w:rsidP="00346C0F">
                    <w:pPr>
                      <w:jc w:val="center"/>
                    </w:pPr>
                    <w:r>
                      <w:t>Конфликт не возникает</w:t>
                    </w:r>
                  </w:p>
                </w:txbxContent>
              </v:textbox>
            </v:rect>
            <v:line id="_x0000_s1196" style="position:absolute" from="8001,6990" to="9801,6991"/>
            <v:line id="_x0000_s1197" style="position:absolute;flip:y" from="9801,6450" to="9802,6990">
              <v:stroke endarrow="block"/>
            </v:line>
            <v:line id="_x0000_s1198" style="position:absolute;flip:y" from="9801,1950" to="9802,2850"/>
            <v:line id="_x0000_s1199" style="position:absolute;flip:x" from="7641,1950" to="9801,1951">
              <v:stroke endarrow="block"/>
            </v:line>
            <v:line id="_x0000_s1200" style="position:absolute;flip:x" from="2601,8610" to="2781,8611"/>
            <v:line id="_x0000_s1201" style="position:absolute;flip:y" from="2601,1950" to="2602,8610"/>
            <v:line id="_x0000_s1202" style="position:absolute" from="2601,1950" to="4041,1951">
              <v:stroke endarrow="block"/>
            </v:line>
            <w10:wrap type="none"/>
            <w10:anchorlock/>
          </v:group>
        </w:pict>
      </w:r>
    </w:p>
    <w:p w:rsidR="00346C0F" w:rsidRPr="00D066C2" w:rsidRDefault="00346C0F" w:rsidP="00346C0F">
      <w:pPr>
        <w:widowControl w:val="0"/>
        <w:ind w:firstLine="709"/>
        <w:jc w:val="center"/>
      </w:pPr>
    </w:p>
    <w:p w:rsidR="00346C0F" w:rsidRDefault="00346C0F" w:rsidP="00346C0F">
      <w:pPr>
        <w:widowControl w:val="0"/>
        <w:ind w:firstLine="709"/>
        <w:jc w:val="center"/>
      </w:pPr>
      <w:r w:rsidRPr="00D066C2">
        <w:t>Рисунок 1 - Модель управления конфликтной ситуацией</w:t>
      </w:r>
    </w:p>
    <w:p w:rsidR="00346C0F" w:rsidRDefault="00346C0F" w:rsidP="00346C0F">
      <w:pPr>
        <w:widowControl w:val="0"/>
        <w:ind w:firstLine="709"/>
        <w:jc w:val="center"/>
      </w:pPr>
    </w:p>
    <w:p w:rsidR="00346C0F" w:rsidRPr="00D066C2" w:rsidRDefault="00346C0F" w:rsidP="00346C0F">
      <w:pPr>
        <w:widowControl w:val="0"/>
        <w:ind w:firstLine="709"/>
        <w:jc w:val="both"/>
      </w:pPr>
      <w:r w:rsidRPr="00D066C2">
        <w:t xml:space="preserve">Вместе с тем проблема классификации методов управления организационными конфликтами носит не только теоретический характер. Ее важность определяется </w:t>
      </w:r>
      <w:proofErr w:type="gramStart"/>
      <w:r w:rsidRPr="00D066C2">
        <w:t>в</w:t>
      </w:r>
      <w:proofErr w:type="gramEnd"/>
      <w:r w:rsidRPr="00D066C2">
        <w:t xml:space="preserve"> многом тем, что решение будет способствовать развитию сферы управления конфликтами в сторону технологизации этого процесса.</w:t>
      </w:r>
    </w:p>
    <w:p w:rsidR="00346C0F" w:rsidRPr="00D066C2" w:rsidRDefault="00346C0F" w:rsidP="00346C0F">
      <w:pPr>
        <w:widowControl w:val="0"/>
        <w:ind w:firstLine="709"/>
        <w:jc w:val="both"/>
      </w:pPr>
      <w:r w:rsidRPr="00D066C2">
        <w:rPr>
          <w:b/>
        </w:rPr>
        <w:t>Выводы</w:t>
      </w:r>
      <w:r w:rsidRPr="00D066C2">
        <w:t xml:space="preserve">. Пока практически нет технологий, которые бы связывали процесс диагностики, выявляющий основные структурные и процессуальные характеристики конфликтов, с выбором методов управления, позволяющих наиболее эффективно и с минимальными деструктивными последствиями для организации их решать. </w:t>
      </w:r>
      <w:r w:rsidRPr="00D066C2">
        <w:lastRenderedPageBreak/>
        <w:t>Практическое значение этой деятельности формирует научнообоснованное управление конфликтами в организации.</w:t>
      </w:r>
    </w:p>
    <w:p w:rsidR="00346C0F" w:rsidRPr="00D066C2" w:rsidRDefault="00346C0F" w:rsidP="00346C0F">
      <w:pPr>
        <w:widowControl w:val="0"/>
        <w:ind w:firstLine="709"/>
        <w:jc w:val="both"/>
      </w:pPr>
    </w:p>
    <w:p w:rsidR="00346C0F" w:rsidRPr="00D066C2" w:rsidRDefault="00346C0F" w:rsidP="00346C0F">
      <w:pPr>
        <w:widowControl w:val="0"/>
        <w:ind w:firstLine="709"/>
        <w:jc w:val="center"/>
        <w:rPr>
          <w:b/>
        </w:rPr>
      </w:pPr>
      <w:r w:rsidRPr="00D066C2">
        <w:rPr>
          <w:b/>
        </w:rPr>
        <w:t>Библиографический список</w:t>
      </w:r>
    </w:p>
    <w:p w:rsidR="00346C0F" w:rsidRPr="00D066C2" w:rsidRDefault="00346C0F" w:rsidP="0004003F">
      <w:pPr>
        <w:pStyle w:val="ae"/>
        <w:widowControl w:val="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A54BD">
        <w:rPr>
          <w:rFonts w:ascii="Times New Roman" w:hAnsi="Times New Roman"/>
          <w:b/>
          <w:bCs/>
          <w:sz w:val="24"/>
          <w:szCs w:val="24"/>
        </w:rPr>
        <w:t>Виханский О.С., Наумов А.И.</w:t>
      </w:r>
      <w:r w:rsidRPr="00D066C2">
        <w:rPr>
          <w:rFonts w:ascii="Times New Roman" w:hAnsi="Times New Roman"/>
          <w:sz w:val="24"/>
          <w:szCs w:val="24"/>
        </w:rPr>
        <w:t xml:space="preserve"> Менеджмент. Учебник. -3-е издание – М.: Гардарики, 2001 – 528с</w:t>
      </w:r>
      <w:r w:rsidRPr="00D066C2">
        <w:rPr>
          <w:rFonts w:ascii="Times New Roman" w:hAnsi="Times New Roman"/>
          <w:sz w:val="24"/>
          <w:szCs w:val="24"/>
          <w:lang w:val="uk-UA"/>
        </w:rPr>
        <w:t>.</w:t>
      </w:r>
    </w:p>
    <w:p w:rsidR="00346C0F" w:rsidRPr="00D066C2" w:rsidRDefault="00346C0F" w:rsidP="0004003F">
      <w:pPr>
        <w:pStyle w:val="ae"/>
        <w:widowControl w:val="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A54BD">
        <w:rPr>
          <w:rFonts w:ascii="Times New Roman" w:hAnsi="Times New Roman"/>
          <w:b/>
          <w:bCs/>
          <w:sz w:val="24"/>
          <w:szCs w:val="24"/>
        </w:rPr>
        <w:t>Шелда А.В.</w:t>
      </w:r>
      <w:r w:rsidRPr="00D066C2">
        <w:rPr>
          <w:rFonts w:ascii="Times New Roman" w:hAnsi="Times New Roman"/>
          <w:sz w:val="24"/>
          <w:szCs w:val="24"/>
        </w:rPr>
        <w:t xml:space="preserve"> Менеджмент: </w:t>
      </w:r>
      <w:proofErr w:type="gramStart"/>
      <w:r w:rsidRPr="00D066C2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D066C2">
        <w:rPr>
          <w:rFonts w:ascii="Times New Roman" w:hAnsi="Times New Roman"/>
          <w:sz w:val="24"/>
          <w:szCs w:val="24"/>
          <w:lang w:val="uk-UA"/>
        </w:rPr>
        <w:t>ідручник. – К: Знання, 2004 – 687с.</w:t>
      </w:r>
    </w:p>
    <w:p w:rsidR="00346C0F" w:rsidRPr="00D066C2" w:rsidRDefault="00346C0F" w:rsidP="0004003F">
      <w:pPr>
        <w:pStyle w:val="ae"/>
        <w:widowControl w:val="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A54BD">
        <w:rPr>
          <w:rFonts w:ascii="Times New Roman" w:hAnsi="Times New Roman"/>
          <w:b/>
          <w:bCs/>
          <w:sz w:val="24"/>
          <w:szCs w:val="24"/>
          <w:lang w:val="uk-UA"/>
        </w:rPr>
        <w:t>Осовська Г.В.</w:t>
      </w:r>
      <w:r w:rsidRPr="00D066C2">
        <w:rPr>
          <w:rFonts w:ascii="Times New Roman" w:hAnsi="Times New Roman"/>
          <w:sz w:val="24"/>
          <w:szCs w:val="24"/>
          <w:lang w:val="uk-UA"/>
        </w:rPr>
        <w:t xml:space="preserve"> Основы менеджмента: навч. посібник для студентів вищих навчальних закладів – К: «Кондор», 2003 - 556с. </w:t>
      </w:r>
    </w:p>
    <w:p w:rsidR="00452E1E" w:rsidRPr="002D4A84" w:rsidRDefault="00452E1E" w:rsidP="002D4A84"/>
    <w:sectPr w:rsidR="00452E1E" w:rsidRPr="002D4A84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8B1"/>
    <w:multiLevelType w:val="hybridMultilevel"/>
    <w:tmpl w:val="2B5E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0509A"/>
    <w:multiLevelType w:val="hybridMultilevel"/>
    <w:tmpl w:val="F8EADC78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29E5"/>
    <w:rsid w:val="0004003F"/>
    <w:rsid w:val="00074576"/>
    <w:rsid w:val="000845F4"/>
    <w:rsid w:val="000B4E6B"/>
    <w:rsid w:val="000E0C02"/>
    <w:rsid w:val="000E7806"/>
    <w:rsid w:val="000F0DFA"/>
    <w:rsid w:val="001473CF"/>
    <w:rsid w:val="001A715F"/>
    <w:rsid w:val="001F6C74"/>
    <w:rsid w:val="002126D2"/>
    <w:rsid w:val="00264182"/>
    <w:rsid w:val="00282B09"/>
    <w:rsid w:val="002D4A84"/>
    <w:rsid w:val="002F23EC"/>
    <w:rsid w:val="00346C0F"/>
    <w:rsid w:val="0038282F"/>
    <w:rsid w:val="00382ABC"/>
    <w:rsid w:val="003B7668"/>
    <w:rsid w:val="00412D86"/>
    <w:rsid w:val="0043729B"/>
    <w:rsid w:val="00452E1E"/>
    <w:rsid w:val="004839A7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77FE2"/>
    <w:rsid w:val="008F5480"/>
    <w:rsid w:val="00925687"/>
    <w:rsid w:val="009B0C31"/>
    <w:rsid w:val="009B29E5"/>
    <w:rsid w:val="009B35D3"/>
    <w:rsid w:val="009D3638"/>
    <w:rsid w:val="009E23B7"/>
    <w:rsid w:val="00A3588D"/>
    <w:rsid w:val="00B70E87"/>
    <w:rsid w:val="00BC0490"/>
    <w:rsid w:val="00BD2009"/>
    <w:rsid w:val="00BD2ED3"/>
    <w:rsid w:val="00BE4EC0"/>
    <w:rsid w:val="00C54009"/>
    <w:rsid w:val="00CD37B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2013-05-26T08:37:00Z</dcterms:created>
  <dcterms:modified xsi:type="dcterms:W3CDTF">2013-05-26T08:37:00Z</dcterms:modified>
</cp:coreProperties>
</file>